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42E6A" Type="http://schemas.openxmlformats.org/officeDocument/2006/relationships/officeDocument" Target="/word/document.xml" /><Relationship Id="coreR61842E6A" Type="http://schemas.openxmlformats.org/package/2006/relationships/metadata/core-properties" Target="/docProps/core.xml" /><Relationship Id="customR61842E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http://katalog.nsp.cz/karta_tp.aspx?id_jp=101871&amp;kod_sm1=28).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souladu s požadavky na pracovníky pro řádné zacházení se zvířaty, které stanovuje nařízení Rady (ES) č. 1099/2009 ze dne 24. září 2009 o ochraně zvířat při usmrcování,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