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F54FE5" Type="http://schemas.openxmlformats.org/officeDocument/2006/relationships/officeDocument" Target="/word/document.xml" /><Relationship Id="coreR60F54FE5" Type="http://schemas.openxmlformats.org/package/2006/relationships/metadata/core-properties" Target="/docProps/core.xml" /><Relationship Id="customR60F54F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velkými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Manipulace s přepravními prostředky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Omračování a vykrvování jatečných zvířat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velkých zvířat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správnou manipulací s velkými zvířaty a jejich znehybňováním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nožů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Prověřování znalostí pokynů od výrobců pro druhy znehybňovacích zařízení používaných k mechanickému znehybnění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Prověřování dostupnosti náhradních metod omračování nebo usmrcování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Prověřování účinnosti omráčení, správnosti vykrvení a nepřítomnosti známek života velkých zvířat po vykrvení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20.10.2026 12:03:34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"https://www.nsp.cz/jednotka-prace/pracovnik-pro-radne-zacha-05e1"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https://www.nsp.cz/jednotka-prace/pracovnik-pro-radne-zacha-05e1#zdravotni-zpusobilost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velkých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probíhá na jatkách, kde při zkoušce uchazeč po ověření kritérií s praktickým předvedením následně sleduje a posuzuje práci zaměstnanců u jednotlivých technologických operací. 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Dohledové činnosti jsou důležitou činností pracovníka, který na jatkách ručí za správné zacházení s jatečnými zvířaty a jsou ověřovány v níže uvedených kompetencích a kritériích: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chováním zvířat, prevencí utrpení zvířat, vědomím a citlivostí, prevencí stresu velkých zvířat, kritérium d)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správnou manipulací s velkými zvířaty a jejich znehybňováním, kritéria a), c), d)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metod omračování, splněním předepsaných parametrů různých metod omračování a znalostí pokynů od výrobců pro používané druhy omračovacích zařízení, kritéria a), c)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základní údržbou a čištěním omračovacích nebo usmrcovacích zařízení, kritéria a), b)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vhodným používáním a údržbou vykrvovacích nožů, kritérium a)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Prověřování účinnosti omráčení, správnosti vykrvení a nepřítomnosti známek života velkých zvířat po vykrvení b)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zvířat, může AOs využít buď zaměstnance jatek, nebo kritérium zkoušet modelově (zaměstnance zastoupí zkoušející).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zkontrolování zdravotního stavu zvířat a provedení základní (prvotní) identifikace onemocnění a poranění vybere zkoušející 3 kusy velkých jatečných zvířat.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velkých jatečných zvířat.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Ověřuje se, zda jsou plněny požadavky, které stanovuje nařízení Rady (ES) č. 1099/2009 ze dne 24. září 2009 o ochraně zvířat při usmrcování a také standardní operační postupy daných jatek.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20.10.2026 12:03:34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studií, SPŠ potravinářských technologií a SOŠ přírodovědná a veterinární, Podskalská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20.10.2026 12:03:34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067D2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