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41D992" Type="http://schemas.openxmlformats.org/officeDocument/2006/relationships/officeDocument" Target="/word/document.xml" /><Relationship Id="coreR5541D992" Type="http://schemas.openxmlformats.org/package/2006/relationships/metadata/core-properties" Target="/docProps/core.xml" /><Relationship Id="customR5541D9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technologií mlékárenských výrob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zpracování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mlékárenském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mlékárenském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30.9.2026 4:43:23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mléčného výrobku (např. konzumní mléko nebo smetana, kysaný mléčný nápoj, jogurt, máslo, smetanový či tvarohový dezert, apod.).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mlékárenských výrob“ je sledováno průběžně při výrobě zadaného produktu.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finálního mléčného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objemu (hmotnosti) výrobku, při níž budou prokázány charakteristické vlastnosti typické pro daný typ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30.9.2026 4:43:23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30.9.2026 4:43:23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