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C41FDC" Type="http://schemas.openxmlformats.org/officeDocument/2006/relationships/officeDocument" Target="/word/document.xml" /><Relationship Id="coreR15C41FDC" Type="http://schemas.openxmlformats.org/package/2006/relationships/metadata/core-properties" Target="/docProps/core.xml" /><Relationship Id="customR15C41F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programů a komplexních projektů (kód: 63-008-T)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programů a komplexních projektů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integrace projektu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rozsahu projektu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časového rámce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Finanční řízení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jakosti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rizik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změn v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zdrojů projektu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informací a dokumentace v projektu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programu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organizace prostřednictvím projektů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01.02.2013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programů a komplexních projektů, 2.10.2026 3:49:42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probíhá formou písemného testu, tj. výběr z možností odpovědí, otevřených otázek nebo jejich kombinací. Test vytváří autorizovaná osoba.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si autorizovaná osoba zvolí pro písemné ověřování kompetencí formu testu, platí níže uvedená pravidla pro aplikaci písemných testů. Písemný test však nemůže být jediným způsobem ověřování odborných kompetencí v rámci profesní kvalifikace.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dvě podmínky: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10 případových studií, které je nutno použít pro praktické ověření všech kompetencí. 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90 až 120 minut.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programů a komplexních projektů, 2.10.2026 3:49:42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pro projektové řízení,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MBP Consulting,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PM Consulting,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Shine Consulting,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programů a komplexních projektů, 2.10.2026 3:49:42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