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21CB17D" Type="http://schemas.openxmlformats.org/officeDocument/2006/relationships/officeDocument" Target="/word/document.xml" /><Relationship Id="coreR121CB17D" Type="http://schemas.openxmlformats.org/package/2006/relationships/metadata/core-properties" Target="/docProps/core.xml" /><Relationship Id="customR121CB17D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Manažer/manažerka projektu (kód: 63-007-R)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pro místní rozvoj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Ekonomika a administrativa (kód: 63)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Projektový manažer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7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13.07.2022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Manažer/manažerka projektu, 1.8.2026 4:39:20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376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Akademické centrum studentských aktivit</w:t>
      </w:r>
    </w:p>
    <w:p>
      <w:pPr>
        <w:pStyle w:val="P15"/>
        <w:framePr w:w="2784" w:h="376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 xml:space="preserve">Nové Sady  988/2, 60200 Brno</w:t>
      </w:r>
    </w:p>
    <w:p>
      <w:pPr>
        <w:pStyle w:val="P17"/>
        <w:framePr w:w="7847" w:h="607" w:hRule="exact" w:wrap="none" w:vAnchor="page" w:hAnchor="margin" w:x="45" w:y="3355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3411"/>
        <w:rPr>
          <w:rStyle w:val="C15"/>
          <w:rtl w:val="0"/>
        </w:rPr>
      </w:pPr>
      <w:r>
        <w:rPr>
          <w:rStyle w:val="C15"/>
          <w:rtl w:val="0"/>
        </w:rPr>
        <w:t>itStep Brno s.r.o.</w:t>
      </w:r>
    </w:p>
    <w:p>
      <w:pPr>
        <w:pStyle w:val="P19"/>
        <w:framePr w:w="2784" w:h="607" w:hRule="exact" w:wrap="none" w:vAnchor="page" w:hAnchor="margin" w:x="7937" w:y="3355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3411"/>
        <w:rPr>
          <w:rStyle w:val="C16"/>
          <w:rtl w:val="0"/>
        </w:rPr>
      </w:pPr>
      <w:r>
        <w:rPr>
          <w:rStyle w:val="C16"/>
          <w:rtl w:val="0"/>
        </w:rPr>
        <w:t>Jana Babáka 2733/11, 61200 Brno</w:t>
      </w:r>
    </w:p>
    <w:p>
      <w:pPr>
        <w:pStyle w:val="P13"/>
        <w:framePr w:w="7847" w:h="607" w:hRule="exact" w:wrap="none" w:vAnchor="page" w:hAnchor="margin" w:x="45" w:y="3971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4027"/>
        <w:rPr>
          <w:rStyle w:val="C13"/>
          <w:rtl w:val="0"/>
        </w:rPr>
      </w:pPr>
      <w:r>
        <w:rPr>
          <w:rStyle w:val="C13"/>
          <w:rtl w:val="0"/>
        </w:rPr>
        <w:t>JUBELA EDU, s.r.o.</w:t>
      </w:r>
    </w:p>
    <w:p>
      <w:pPr>
        <w:pStyle w:val="P15"/>
        <w:framePr w:w="2784" w:h="607" w:hRule="exact" w:wrap="none" w:vAnchor="page" w:hAnchor="margin" w:x="7937" w:y="3971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4027"/>
        <w:rPr>
          <w:rStyle w:val="C14"/>
          <w:rtl w:val="0"/>
        </w:rPr>
      </w:pPr>
      <w:r>
        <w:rPr>
          <w:rStyle w:val="C14"/>
          <w:rtl w:val="0"/>
        </w:rPr>
        <w:t>Volutová 2523/14, 15800 Praha 5</w:t>
      </w:r>
    </w:p>
    <w:p>
      <w:pPr>
        <w:pStyle w:val="P17"/>
        <w:framePr w:w="7847" w:h="376" w:hRule="exact" w:wrap="none" w:vAnchor="page" w:hAnchor="margin" w:x="45" w:y="4588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4644"/>
        <w:rPr>
          <w:rStyle w:val="C15"/>
          <w:rtl w:val="0"/>
        </w:rPr>
      </w:pPr>
      <w:r>
        <w:rPr>
          <w:rStyle w:val="C15"/>
          <w:rtl w:val="0"/>
        </w:rPr>
        <w:t>NETIA, s.r.o.</w:t>
      </w:r>
    </w:p>
    <w:p>
      <w:pPr>
        <w:pStyle w:val="P19"/>
        <w:framePr w:w="2784" w:h="376" w:hRule="exact" w:wrap="none" w:vAnchor="page" w:hAnchor="margin" w:x="7937" w:y="4588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4644"/>
        <w:rPr>
          <w:rStyle w:val="C16"/>
          <w:rtl w:val="0"/>
        </w:rPr>
      </w:pPr>
      <w:r>
        <w:rPr>
          <w:rStyle w:val="C16"/>
          <w:rtl w:val="0"/>
        </w:rPr>
        <w:t>Hliníky 259, 67972 Kunštát</w:t>
      </w:r>
    </w:p>
    <w:p>
      <w:pPr>
        <w:pStyle w:val="P13"/>
        <w:framePr w:w="7847" w:h="607" w:hRule="exact" w:wrap="none" w:vAnchor="page" w:hAnchor="margin" w:x="45" w:y="4974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5030"/>
        <w:rPr>
          <w:rStyle w:val="C13"/>
          <w:rtl w:val="0"/>
        </w:rPr>
      </w:pPr>
      <w:r>
        <w:rPr>
          <w:rStyle w:val="C13"/>
          <w:rtl w:val="0"/>
        </w:rPr>
        <w:t>Počítačová služba s.r.o.</w:t>
      </w:r>
    </w:p>
    <w:p>
      <w:pPr>
        <w:pStyle w:val="P15"/>
        <w:framePr w:w="2784" w:h="607" w:hRule="exact" w:wrap="none" w:vAnchor="page" w:hAnchor="margin" w:x="7937" w:y="4974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5030"/>
        <w:rPr>
          <w:rStyle w:val="C14"/>
          <w:rtl w:val="0"/>
        </w:rPr>
      </w:pPr>
      <w:r>
        <w:rPr>
          <w:rStyle w:val="C14"/>
          <w:rtl w:val="0"/>
        </w:rPr>
        <w:t>Stupkova 413/1a, 77900 Olomouc</w:t>
      </w:r>
    </w:p>
    <w:p>
      <w:pPr>
        <w:pStyle w:val="P17"/>
        <w:framePr w:w="7847" w:h="607" w:hRule="exact" w:wrap="none" w:vAnchor="page" w:hAnchor="margin" w:x="45" w:y="5590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5646"/>
        <w:rPr>
          <w:rStyle w:val="C15"/>
          <w:rtl w:val="0"/>
        </w:rPr>
      </w:pPr>
      <w:r>
        <w:rPr>
          <w:rStyle w:val="C15"/>
          <w:rtl w:val="0"/>
        </w:rPr>
        <w:t>Pumpedu s.r.o.</w:t>
      </w:r>
    </w:p>
    <w:p>
      <w:pPr>
        <w:pStyle w:val="P19"/>
        <w:framePr w:w="2784" w:h="607" w:hRule="exact" w:wrap="none" w:vAnchor="page" w:hAnchor="margin" w:x="7937" w:y="5590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5646"/>
        <w:rPr>
          <w:rStyle w:val="C16"/>
          <w:rtl w:val="0"/>
        </w:rPr>
      </w:pPr>
      <w:r>
        <w:rPr>
          <w:rStyle w:val="C16"/>
          <w:rtl w:val="0"/>
        </w:rPr>
        <w:t>Na strži 1702/65, 14000 Praha4 - Nusle</w:t>
      </w:r>
    </w:p>
    <w:p>
      <w:pPr>
        <w:pStyle w:val="P13"/>
        <w:framePr w:w="7847" w:h="607" w:hRule="exact" w:wrap="none" w:vAnchor="page" w:hAnchor="margin" w:x="45" w:y="6207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6263"/>
        <w:rPr>
          <w:rStyle w:val="C13"/>
          <w:rtl w:val="0"/>
        </w:rPr>
      </w:pPr>
      <w:r>
        <w:rPr>
          <w:rStyle w:val="C13"/>
          <w:rtl w:val="0"/>
        </w:rPr>
        <w:t>TAYLLORCOX s.r.o.</w:t>
      </w:r>
    </w:p>
    <w:p>
      <w:pPr>
        <w:pStyle w:val="P15"/>
        <w:framePr w:w="2784" w:h="607" w:hRule="exact" w:wrap="none" w:vAnchor="page" w:hAnchor="margin" w:x="7937" w:y="6207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6263"/>
        <w:rPr>
          <w:rStyle w:val="C14"/>
          <w:rtl w:val="0"/>
        </w:rPr>
      </w:pPr>
      <w:r>
        <w:rPr>
          <w:rStyle w:val="C14"/>
          <w:rtl w:val="0"/>
        </w:rPr>
        <w:t>Na Florenci 1055/35, 11000 Praha 1</w:t>
      </w:r>
    </w:p>
    <w:p>
      <w:pPr>
        <w:pStyle w:val="P17"/>
        <w:framePr w:w="7847" w:h="607" w:hRule="exact" w:wrap="none" w:vAnchor="page" w:hAnchor="margin" w:x="45" w:y="6823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6879"/>
        <w:rPr>
          <w:rStyle w:val="C15"/>
          <w:rtl w:val="0"/>
        </w:rPr>
      </w:pPr>
      <w:r>
        <w:rPr>
          <w:rStyle w:val="C15"/>
          <w:rtl w:val="0"/>
        </w:rPr>
        <w:t>Vysoká škola technická a ekonomická v Českých Budějovicích</w:t>
      </w:r>
    </w:p>
    <w:p>
      <w:pPr>
        <w:pStyle w:val="P19"/>
        <w:framePr w:w="2784" w:h="607" w:hRule="exact" w:wrap="none" w:vAnchor="page" w:hAnchor="margin" w:x="7937" w:y="6823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6879"/>
        <w:rPr>
          <w:rStyle w:val="C16"/>
          <w:rtl w:val="0"/>
        </w:rPr>
      </w:pPr>
      <w:r>
        <w:rPr>
          <w:rStyle w:val="C16"/>
          <w:rtl w:val="0"/>
        </w:rPr>
        <w:t>Okružní 517/10/10, 37001 České Budějovice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Manažer/manažerka projektu, 1.8.2026 4:39:20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paragraph" w:styleId="P17">
    <w:name w:val="ParagraphStyle16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8">
    <w:name w:val="ParagraphStyle17"/>
    <w:hidden/>
    <w:pPr>
      <w:bidi w:val="0"/>
      <w:jc w:val="left"/>
    </w:pPr>
  </w:style>
  <w:style w:type="paragraph" w:styleId="P19">
    <w:name w:val="ParagraphStyle18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20">
    <w:name w:val="ParagraphStyle19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