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25E12" Type="http://schemas.openxmlformats.org/officeDocument/2006/relationships/officeDocument" Target="/word/document.xml" /><Relationship Id="coreR5B325E12" Type="http://schemas.openxmlformats.org/package/2006/relationships/metadata/core-properties" Target="/docProps/core.xml" /><Relationship Id="customR5B325E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a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jednotlivých druhů bazénové chemie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chemickými a dezinfekčními látkami, přípravky a potřebnými pomůckami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zařízení úpravny bazénové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-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filtračního zařízení (filtry, ventily)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k dezinfekci vody (UV lampa, ozonizace)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bazénového vysavače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doporučuje hodnotit podle těchto kritérií: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provedené práce a znalost navázání jednotlivých postupů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Dodržení požadavků zadání, pokynů výrobců strojů, chemických prostředků a úklidových pomůcek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Technické provedení manipulace na předložených maketách jednotlivých komponentů úpravny bazénové vody podle zadání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na dodržení technologických postupů, na zručnost při provádění úkonů a na výslednou kvalitu práce.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předvedení i k časovému hledisku zvládání jednotlivých požadovaných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GHC Invest,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Herborner Pumpenfabrik J. H. Hoffmann GmbH &amp; Co. KG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Bazenservis,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