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C4E0B" Type="http://schemas.openxmlformats.org/officeDocument/2006/relationships/officeDocument" Target="/word/document.xml" /><Relationship Id="coreRC5C4E0B" Type="http://schemas.openxmlformats.org/package/2006/relationships/metadata/core-properties" Target="/docProps/core.xml" /><Relationship Id="customRC5C4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https://www.nsp.cz/jednotka-prace/vyrobce-drevenych-hracek#zdravotni-zpusobilost).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technických a výtvarných podkladech pro zhotovování dřevěných hraček a herních objektů, kritérium b)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Volba postupu práce, způsobu zpracování, nástrojů a materiálů pro zhotovování dřevěných hraček a herních objektů uchazeč postupuje podle technického výkresu zhotoveného uchazečem.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dalších odborných způsobilostí tohoto hodnoticího standardu uchazeč vyrobí hračku podle technického výkresu zhotoveného uchazečem podle uvedeného výtvarného návrhu předloženého autorizovanou osobou.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Obsluha dřevoobráběcích strojů a strojních zařízení spočívá v předvedení soustružení podle kótovaného výkresu součásti hruškovitého tvaru o rozměrech: průměr 100 mm a délka 200 mm. Kótovaný výkres je v měřítku 1:1.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i ve vztahu k bezpečnosti dítěte, které hračku používá, dále její přesné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-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hraček, 30.9.2026 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