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BC3EF" Type="http://schemas.openxmlformats.org/officeDocument/2006/relationships/officeDocument" Target="/word/document.xml" /><Relationship Id="coreR5AABC3EF" Type="http://schemas.openxmlformats.org/package/2006/relationships/metadata/core-properties" Target="/docProps/core.xml" /><Relationship Id="customR5AABC3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20.10.2026 11:38:36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https://www.nsp.cz/jednotka-prace/vyrobce-drevenych-hracek#zdravotni-zpusobilost).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technických a výtvarných podkladech pro zhotovování dřevěných hraček a herních objektů, kritérium b)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Volba postupu práce, způsobu zpracování, nástrojů a materiálů pro zhotovování dřevěných hraček a herních objektů uchazeč postupuje podle technického výkresu zhotoveného uchazečem.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dalších odborných způsobilostí tohoto hodnoticího standardu uchazeč vyrobí hračku podle technického výkresu zhotoveného uchazečem podle uvedeného výtvarného návrhu předloženého autorizovanou osobou.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Obsluha dřevoobráběcích strojů a strojních zařízení spočívá v předvedení soustružení podle kótovaného výkresu součásti hruškovitého tvaru o rozměrech: průměr 100 mm a délka 200 mm. Kótovaný výkres je v měřítku 1:1.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i ve vztahu k bezpečnosti dítěte, které hračku používá, dále její přesné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20.10.2026 11:38:36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-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20.10.2026 11:38:36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