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4EAE6" Type="http://schemas.openxmlformats.org/officeDocument/2006/relationships/officeDocument" Target="/word/document.xml" /><Relationship Id="coreR2804EAE6" Type="http://schemas.openxmlformats.org/package/2006/relationships/metadata/core-properties" Target="/docProps/core.xml" /><Relationship Id="customR2804EA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 nebo opravě slaboproudých zařízení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24.10.2026 4:44:32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"https://www.nsp.cz/jednotka-prace/elektromechanik-pro-slabo"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https://www.nsp.cz/jednotka-prace/elektromechanik-pro-slabo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24.10.2026 4:44:32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24.10.2026 4:44:32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