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D2F36" Type="http://schemas.openxmlformats.org/officeDocument/2006/relationships/officeDocument" Target="/word/document.xml" /><Relationship Id="coreR2A3D2F36" Type="http://schemas.openxmlformats.org/package/2006/relationships/metadata/core-properties" Target="/docProps/core.xml" /><Relationship Id="customR2A3D2F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15.01.2021 do: 14.10.2022</w:t>
      </w:r>
    </w:p>
    <w:p>
      <w:pPr>
        <w:pStyle w:val="P21"/>
        <w:framePr w:w="7654" w:h="331" w:hRule="exact" w:wrap="none" w:vAnchor="page" w:hAnchor="margin" w:x="28" w:y="15940"/>
        <w:rPr>
          <w:rStyle w:val="C16"/>
          <w:rtl w:val="0"/>
        </w:rPr>
      </w:pPr>
      <w:r>
        <w:rPr>
          <w:rStyle w:val="C16"/>
          <w:rtl w:val="0"/>
        </w:rPr>
        <w:t>Montér elektrických sítí, 9.9.2026 21:55:07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2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§5) podle vyhlášky č. 50/1978 Sb., v platném znění. Pro účely zkoušky tento požadavek neplatí.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elektrických sítí, 9.9.2026 21:55:07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sítí, 9.9.2026 21:55:07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