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90DB34" Type="http://schemas.openxmlformats.org/officeDocument/2006/relationships/officeDocument" Target="/word/document.xml" /><Relationship Id="coreR2E90DB34" Type="http://schemas.openxmlformats.org/package/2006/relationships/metadata/core-properties" Target="/docProps/core.xml" /><Relationship Id="customR2E90DB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Koksař obsluha chemické části koksovny (kód: 21-023-H)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Koksař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zpracování koksárenského plynu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koksárenském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zkoušek v chemické části koksovny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výstupů z chemické části koksovny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zařízení v chemické části koksovny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 obsluha chemické části koksovny, 30.9.2026 5:59:18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– http://katalog.nsp.cz/karta_p.aspx?id_jp=100236&amp;kod_sm1=36).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 obsluha chemické části koksovny, 30.9.2026 5:59:18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hutnictví, slévárenství a kovárenství, ustavená a licencovaná pro tuto činnost HK ČR a SP ČR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TŽ,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OKK,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 obsluha chemické části koksovny, 30.9.2026 5:59:18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