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507A44" Type="http://schemas.openxmlformats.org/officeDocument/2006/relationships/officeDocument" Target="/word/document.xml" /><Relationship Id="coreR23507A44" Type="http://schemas.openxmlformats.org/package/2006/relationships/metadata/core-properties" Target="/docProps/core.xml" /><Relationship Id="customR23507A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Smaltér/smaltérka (kód: 23-067-H)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smaltování a pro smaltové suspenze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smaltováním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povrchové úpravy smaltováním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suspenzí pro smaltování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Obsluha, seřizování, ošetřování a údržba zařízení pro smaltování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výsledků smaltování (tloušťky nanesené vrstvy, jakosti povrchu)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https://www.nsp.cz/jednotka-prace/smalter#zdravotni-zpusobilost).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odpovídat reálným pracovním činnostem smaltéra v podmínkách smaltování výrobní linky. Zaučení pracovníci se podílí na posloupnosti řady přípravných operací – tryskání, odmaštění, manipulace s materiálem a vlastním procesu smaltování. Podmínky zkoušky požadují přípravu smaltéřské suspenze, seřízení zařízení pro nástřik a nástřik smaltové suspenze na povrch dílu s následným vypálením smaltu. Splněním požadavku zkoušky se považuje vyhodnocení zhotoveného smaltového povlaku s odpovídajícími parametry (tloušťka, celistvost).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Smaltér/smaltérka,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