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5EFBDD" Type="http://schemas.openxmlformats.org/officeDocument/2006/relationships/officeDocument" Target="/word/document.xml" /><Relationship Id="coreR385EFBDD" Type="http://schemas.openxmlformats.org/package/2006/relationships/metadata/core-properties" Target="/docProps/core.xml" /><Relationship Id="customR385EFB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Rozlišování materiálů pro smaltování a pro smaltové suspenze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antikorozní ochraně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technologického postupu povrchové úpravy kovů smaltováním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povrchové úpravy smaltováním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povrchů součástí před povrchovými úpravami - opalování, odrezování, odmašťování, tryskání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polotovarem nebo výrobkem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suspenzí pro smaltování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Obsluha, seřizování, ošetřování a údržba zařízení pro smaltování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kontrola výsledků smaltování (tloušťky nanesené vrstvy, jakosti povrchu)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11.5.2026 7:51:33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https://www.nsp.cz/jednotka-prace/smalter#zdravotni-zpusobilost).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odpovídat reálným pracovním činnostem smaltéra v podmínkách smaltování výrobní linky. Zaučení pracovníci se podílí na posloupnosti řady přípravných operací – tryskání, odmaštění, manipulace s materiálem a vlastním procesu smaltování. Podmínky zkoušky požadují přípravu smaltéřské suspenze, seřízení zařízení pro nástřik a nástřik smaltové suspenze na povrch dílu s následným vypálením smaltu. Splněním požadavku zkoušky se považuje vyhodnocení zhotoveného smaltového povlaku s odpovídajícími parametry (tloušťka, celistvost).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11.5.2026 7:51:33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Smaltér/smaltérka, 11.5.2026 7:51:33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