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45A30C" Type="http://schemas.openxmlformats.org/officeDocument/2006/relationships/officeDocument" Target="/word/document.xml" /><Relationship Id="coreR2945A30C" Type="http://schemas.openxmlformats.org/package/2006/relationships/metadata/core-properties" Target="/docProps/core.xml" /><Relationship Id="customR2945A3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Zušlechťovač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Rozlišit materiály, které budou smaltovány a materiály pro smaltové suspenze, respektovat při zpracování jejich technologické, chemické a mechanické vlastnosti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způsobů antikorozní ochrany materiálu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Popsat technologický postup povrchové úpravy kovů smaltováním a jeho jednotlivých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20.10.2026 9:42:22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http://katalog.nsp.cz/karta_p.aspx?id_jp=118&amp;kod_sm1=37).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20.10.2026 9:42:22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20.10.2026 9:42:22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