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31A84" Type="http://schemas.openxmlformats.org/officeDocument/2006/relationships/officeDocument" Target="/word/document.xml" /><Relationship Id="coreR3FC31A84" Type="http://schemas.openxmlformats.org/package/2006/relationships/metadata/core-properties" Target="/docProps/core.xml" /><Relationship Id="customR3FC31A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20.8.2026 16:52:52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2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21"/>
        <w:framePr w:w="7654" w:h="331" w:hRule="exact" w:wrap="none" w:vAnchor="page" w:hAnchor="margin" w:x="28" w:y="15940"/>
        <w:rPr>
          <w:rStyle w:val="C16"/>
          <w:rtl w:val="0"/>
        </w:rPr>
      </w:pPr>
      <w:r>
        <w:rPr>
          <w:rStyle w:val="C16"/>
          <w:rtl w:val="0"/>
        </w:rPr>
        <w:t>Seřizovač konvenčních obráběcích strojů, 20.8.2026 16:52:52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strojírenství, ustavená a licencovaná pro tuto činnost HK ČR a SP ČR.</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20.8.2026 16:52:52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