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6B12C" Type="http://schemas.openxmlformats.org/officeDocument/2006/relationships/officeDocument" Target="/word/document.xml" /><Relationship Id="coreR356B12C" Type="http://schemas.openxmlformats.org/package/2006/relationships/metadata/core-properties" Target="/docProps/core.xml" /><Relationship Id="customR356B1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Seřizovač konvenčních obráběcích strojů, 30.9.2026 5:59:09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2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21"/>
        <w:framePr w:w="7654" w:h="331" w:hRule="exact" w:wrap="none" w:vAnchor="page" w:hAnchor="margin" w:x="28" w:y="15940"/>
        <w:rPr>
          <w:rStyle w:val="C16"/>
          <w:rtl w:val="0"/>
        </w:rPr>
      </w:pPr>
      <w:r>
        <w:rPr>
          <w:rStyle w:val="C16"/>
          <w:rtl w:val="0"/>
        </w:rPr>
        <w:t>Seřizovač konvenčních obráběcích strojů, 30.9.2026 5:59:09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strojírenství, ustavená a licencovaná pro tuto činnost HK ČR a SP ČR.</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Seřizovač konvenčních obráběcích strojů, 30.9.2026 5:59:09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