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90FFDB" Type="http://schemas.openxmlformats.org/officeDocument/2006/relationships/officeDocument" Target="/word/document.xml" /><Relationship Id="coreR5790FFDB" Type="http://schemas.openxmlformats.org/package/2006/relationships/metadata/core-properties" Target="/docProps/core.xml" /><Relationship Id="customR5790FF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Seřizovač konvenčních obráběcích strojů, 28.5.2026 4:19:46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2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http://katalog.nsp.cz/karta_p.aspx?id_jp=108&amp;kod_sm1=37).</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21"/>
        <w:framePr w:w="7654" w:h="331" w:hRule="exact" w:wrap="none" w:vAnchor="page" w:hAnchor="margin" w:x="28" w:y="15940"/>
        <w:rPr>
          <w:rStyle w:val="C16"/>
          <w:rtl w:val="0"/>
        </w:rPr>
      </w:pPr>
      <w:r>
        <w:rPr>
          <w:rStyle w:val="C16"/>
          <w:rtl w:val="0"/>
        </w:rPr>
        <w:t>Seřizovač konvenčních obráběcích strojů, 28.5.2026 4:19:46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strojírenství, ustavená a licencovaná pro tuto činnost HK ČR a SP ČR.</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Seřizovač konvenčních obráběcích strojů, 28.5.2026 4:19:46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