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D7E8EC" Type="http://schemas.openxmlformats.org/officeDocument/2006/relationships/officeDocument" Target="/word/document.xml" /><Relationship Id="coreR26D7E8EC" Type="http://schemas.openxmlformats.org/package/2006/relationships/metadata/core-properties" Target="/docProps/core.xml" /><Relationship Id="customR26D7E8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Rýsovač (kód: 23-065-H)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 zámečník a rýsovač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pro rozměření a orýsování polotovarů a obrobků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potřebného nářadí, pomůcek a měřidel pro provádění rýsovačských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Proměřování a orýsování dílců pro strojní obrábění (vrtání a frézování na vodorovné vyvrtávačce), orýsování os v jednotlivých rovinách a roztečích děr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polotovarů a obrobků pro jejich orýsování (nátěr povrchu vápenným roztokem, lihovou barvou, roztokem síranu měďnatého, matným, černým nebo červeným lakem)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Orýsování součástí a polotovarů s použitím měřidel, rýsovačského nářadí, pomůcek, přístrojů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06.02.2013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Rýsovač, 30.9.2026 6:41:26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http://katalog.nsp.cz/karta_tp.aspx?id_jp=2189&amp;kod_sm1=37).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ověření je třeba přihlížet k bezpečnému provádění všech úkonů a zejména k používání osobních ochranných pomůcek.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Rýsovač, 30.9.2026 6:41:26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SŠT ve Žďáře nad Sázavou 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Šmeral, a. s., Brno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Rýsovač, 30.9.2026 6:41:26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