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F377BB" Type="http://schemas.openxmlformats.org/officeDocument/2006/relationships/officeDocument" Target="/word/document.xml" /><Relationship Id="coreR59F377BB" Type="http://schemas.openxmlformats.org/package/2006/relationships/metadata/core-properties" Target="/docProps/core.xml" /><Relationship Id="customR59F377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Výpočty množství jednotlivých surovin pro připravované pokrmy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Sestavení jídelního lístku a sledu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jatečního masa, drůbeže, ryb a zvěřiny pro kuchyňské zpracovávání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teplých pokrmů podle receptur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a úprava pokrmů pro dietní stravování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pokrmů národních kuchyní a dalších specialit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Příprava, úprava a aranžování pokrmů pro slavnostní příležitosti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 xml:space="preserve">Příprava a pečení  moučníků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Příprava teplých nápojů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Organizování práce v provozu a při gastronomických akcích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teplých pokrmů, 7.11.2026 17:57:05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pokrmů, které zadá.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nejméně dvou pokrmů teplé kuchyně. Sestavu pokrmů a počet připravovaných porcí určí autorizovaná osoba.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technologických postupů, dodržování časového harmonogramu.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teplých pokrmů, 7.11.2026 17:57:05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 oborovou skupinou gastronomie, hotelnictví, turismus při NÚOV, sekcí pro NSK, jejímiž členy jsou zástupci následujících organizací: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teplých pokrmů, 7.11.2026 17:57:05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