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EE5174" Type="http://schemas.openxmlformats.org/officeDocument/2006/relationships/officeDocument" Target="/word/document.xml" /><Relationship Id="coreR2EEE5174" Type="http://schemas.openxmlformats.org/package/2006/relationships/metadata/core-properties" Target="/docProps/core.xml" /><Relationship Id="customR2EEE51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Písmák/písmačka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Písmák/písmačka, 30.9.2026 2:39:36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30.9.2026 2:39:36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zásad BOZP při práci s kamenem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zásady a důvody používání osobních ochranných pracovních prostředků při práci s kamenem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30.9.2026 2:39:36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zadání obsahově vycházejí z jednotlivých kritérií hodnocení. Autorizovaná osoba pro zkoušku vybere jedno zadání.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klade důraz:</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Písmák/písmačka, 30.9.2026 2:39:36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grafickou výrobu a střední vzdělání s maturitní zkouškou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nebo grafickou výrobu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grafickou výrobu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grafický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Písmák/písmačka a střední vzdělání s maturitní zkouškou a alespoň 5 let odborné praxe v oblasti kamenické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Písmák/písmačka, 30.9.2026 2:39:36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sekání písma ručně, zhotovení písma strojně a konečnou úpravu písma a pomocnými zařízeními odpovídajícími požadavkům BOZP a hygienickým předpisům, splňující následující požadavky na materiálně-technické vybavení:</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podle zadání, vodou rozpustná běloba, dextrin, sádra, bílý nitrocelulosový sprej, plátkové zlato, mixtion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chrániče sluchu)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Písmák/písmačka, 30.9.2026 2:39:36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Písmák/písmačka, 30.9.2026 2:39:36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D59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5911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C29C6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97B4D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88577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