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A74E" Type="http://schemas.openxmlformats.org/officeDocument/2006/relationships/officeDocument" Target="/word/document.xml" /><Relationship Id="coreR7FBA74E" Type="http://schemas.openxmlformats.org/package/2006/relationships/metadata/core-properties" Target="/docProps/core.xml" /><Relationship Id="customR7FBA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Písmák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kladen důraz: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•organizaci práce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provedení zadaných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•samostatnost při rozhodování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2D4D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