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230025" Type="http://schemas.openxmlformats.org/officeDocument/2006/relationships/officeDocument" Target="/word/document.xml" /><Relationship Id="coreR23230025" Type="http://schemas.openxmlformats.org/package/2006/relationships/metadata/core-properties" Target="/docProps/core.xml" /><Relationship Id="customR232300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Zušlechťovač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Rozlišit materiály, které budou pokovovány a materiály pro vytváření povlaků, respektovat při zpracování jejich technologické, chemické a mechanické vlastnosti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způsobů antikorozní ochrany materiálu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Popsat technologický postup povrchové úpravy kovů nanášením kovových povlaků a jejich jednotlivé operace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chemické, elektrochemické a žárové vytváření povlaků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lázní pro moření, fosfátování, eloxování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zařízení pro chemické, elektrochemické a žárové vytváření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Pokovování součástí roztavenými kovy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Měření a kontrola výsledků, tloušťky nanesené vrstvy a jakosti povrchu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20.10.2026 8:47:07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http://katalog.nsp.cz/karta_p.aspx?id_jp=118&amp;kod_sm1=37).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20.10.2026 8:47:07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20.10.2026 8:47:07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