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D41BC" Type="http://schemas.openxmlformats.org/officeDocument/2006/relationships/officeDocument" Target="/word/document.xml" /><Relationship Id="coreR342D41BC" Type="http://schemas.openxmlformats.org/package/2006/relationships/metadata/core-properties" Target="/docProps/core.xml" /><Relationship Id="customR342D41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šablon, nebo CNC strojích podle dodaného nebo vytvořeného programu anebo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ryteckých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https://www.nsp.cz/jednotka-prace/strojni-rytec#zdravotni-zpusobilost).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strojního rytce v podmínkách běžné strojírenské výroby, kde pracovník musí zvládnout jak návrh a přípravu zadané výroby, tak i obsluhu a údržbu strojů pro strojní rytí. Typickými příklady strojů používaných pro strojní rytí jsou např. pantografické frézky, CNC frézky, CNC laserové stroje, mikroúderové gravírovací stroje.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požadavků praktické zkoušky se považuje komplexní zvládnutí přípravy, realizace a kontroly výrobního úkonu na zvoleném (užívaném) ryteckém stroji.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Moravskoslezský strojírenský klastr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rytec/rytkyně,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