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ACDFC4" Type="http://schemas.openxmlformats.org/officeDocument/2006/relationships/officeDocument" Target="/word/document.xml" /><Relationship Id="coreR7AACDFC4" Type="http://schemas.openxmlformats.org/package/2006/relationships/metadata/core-properties" Target="/docProps/core.xml" /><Relationship Id="customR7AACDF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rytec/rytkyně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šablon a programů pro strojní rytí písmen, číslic, značek, ornamentů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 na pantografických frézkách podle šablon, nebo CNC strojích podle dodaného nebo vytvořeného programu anebo námětu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ryteckých strojů, nářadí, nástrojů a pomůcek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18.10.2026 19:24:14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https://www.nsp.cz/jednotka-prace/strojni-rytec#zdravotni-zpusobilost).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strojního rytce v podmínkách běžné strojírenské výroby, kde pracovník musí zvládnout jak návrh a přípravu zadané výroby, tak i obsluhu a údržbu strojů pro strojní rytí. Typickými příklady strojů používaných pro strojní rytí jsou např. pantografické frézky, CNC frézky, CNC laserové stroje, mikroúderové gravírovací stroje.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požadavků praktické zkoušky se považuje komplexní zvládnutí přípravy, realizace a kontroly výrobního úkonu na zvoleném (užívaném) ryteckém stroji.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18.10.2026 19:24:14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Moravskoslezský strojírenský klastr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18.10.2026 19:24:14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