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945CDB" Type="http://schemas.openxmlformats.org/officeDocument/2006/relationships/officeDocument" Target="/word/document.xml" /><Relationship Id="coreR1F945CDB" Type="http://schemas.openxmlformats.org/package/2006/relationships/metadata/core-properties" Target="/docProps/core.xml" /><Relationship Id="customR1F945C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 (kód: 36-060-H)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stavbu studní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a rekonstrukce povrchových studní a pramenných jímek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zřizování studní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izolací studní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Čištění a dezinfekce studní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nebo výměny vadného pláště studny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Rekonstrukce a oživování studní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trhacích prací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pro studnařské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06.02.2013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Studnař, 30.9.2026 8:37:49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vychází z předvedené znalosti technologických postupů, ze zručnosti při provádění pracovních úkonů a z výsledné kvality práce. Při posuzování kvality se doporučuje využít tato kritéria: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Studnař, 30.9.2026 8:37:49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Praha, SUDOP Brno, Statikum Brno, 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Studnař, 30.9.2026 8:37:49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