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5B53A" Type="http://schemas.openxmlformats.org/officeDocument/2006/relationships/officeDocument" Target="/word/document.xml" /><Relationship Id="coreR23C5B53A" Type="http://schemas.openxmlformats.org/package/2006/relationships/metadata/core-properties" Target="/docProps/core.xml" /><Relationship Id="customR23C5B5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(kód: 36-060-H)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a rekonstrukce povrchových studní a pramenných jímek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zřizování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izolací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Čištění a dezinfekce studní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nebo výměny vadného pláště studny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Rekonstrukce a oživování studní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trhacích prací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vychází z předvedené znalosti technologických postupů, ze zručnosti při provádění pracovních úkonů a z výsledné kvality práce. Při posuzování kvality se doporučuje využít tato kritéria: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