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A8D55" Type="http://schemas.openxmlformats.org/officeDocument/2006/relationships/officeDocument" Target="/word/document.xml" /><Relationship Id="coreR5FEA8D55" Type="http://schemas.openxmlformats.org/package/2006/relationships/metadata/core-properties" Target="/docProps/core.xml" /><Relationship Id="customR5FEA8D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biologii škůdců ve vztahu ke smrtícímu účinku fumigantů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Příprava a organizace fumigace, hermetizace (utěsnění) a její kontrola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ochrany zdraví a životního prostředí při fumigaci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fumigace kyanovodíkem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fumigace fosforovodíkem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fumigace sulfurylfluoridem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Používání metod řízených atmosfér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20.10.2026 12:35:03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https://www.nsp.cz/jednotka-prace/asanacni-pracovnik-s-fumi#zdravotni-zpusobilost).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38), jsou ověřována testem.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 kvalifikace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vygenerování náhodného testu pro každého uchazeče sestaveného ze 38 otázek. Testové otázky budou uzavřené, sestavené ze tří odpovědí, z nichž jedna je správná. Všechny otázky jsou bodově rovnocenné.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20.10.2026 12:35:03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20.10.2026 12:35:03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