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A40D9F" Type="http://schemas.openxmlformats.org/officeDocument/2006/relationships/officeDocument" Target="/word/document.xml" /><Relationship Id="coreR4AA40D9F" Type="http://schemas.openxmlformats.org/package/2006/relationships/metadata/core-properties" Target="/docProps/core.xml" /><Relationship Id="customR4AA40D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dodržování zásad bezpečnosti a ochrany zdraví při práci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toto kritérium.</w:t>
      </w:r>
    </w:p>
    <w:p>
      <w:pPr>
        <w:pStyle w:val="P23"/>
        <w:framePr w:w="10710" w:h="340" w:hRule="exact" w:wrap="none" w:vAnchor="page" w:hAnchor="margin" w:x="28" w:y="7687"/>
        <w:rPr>
          <w:rStyle w:val="C18"/>
          <w:rtl w:val="0"/>
        </w:rPr>
      </w:pPr>
      <w:r>
        <w:rPr>
          <w:rStyle w:val="C18"/>
          <w:rtl w:val="0"/>
        </w:rPr>
        <w:t>Orientace v biologii škůdců ve vztahu ke smrtícímu účinku fumigantů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Uvést, kteří škůdci mohou být fumigováni (obecně)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způsob života nejznámějších škůdců v potravinářském průmyslu, při jejichž výskytu se využívá fumigace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jak dýchá hmyz a roztoči</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a 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Příprava a organizace fumigace, hermetizace (utěsnění) a její kontrola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a) Uvést typy fumigace (strukturální, půdní, surovin a materiálů)</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Písemné a ústní ověření</w:t>
      </w:r>
    </w:p>
    <w:p>
      <w:pPr>
        <w:pStyle w:val="P16"/>
        <w:framePr w:w="6710" w:h="376" w:hRule="exact" w:wrap="none" w:vAnchor="page" w:hAnchor="margin" w:x="45" w:y="11603"/>
        <w:rPr>
          <w:rStyle w:val="C3"/>
          <w:rtl w:val="0"/>
        </w:rPr>
      </w:pPr>
    </w:p>
    <w:p>
      <w:pPr>
        <w:pStyle w:val="P17"/>
        <w:framePr w:w="6658" w:h="249" w:hRule="exact" w:wrap="none" w:vAnchor="page" w:hAnchor="margin" w:x="71" w:y="11659"/>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603"/>
        <w:rPr>
          <w:rStyle w:val="C3"/>
          <w:rtl w:val="0"/>
        </w:rPr>
      </w:pPr>
    </w:p>
    <w:p>
      <w:pPr>
        <w:pStyle w:val="P31"/>
        <w:framePr w:w="3839" w:h="249" w:hRule="exact" w:wrap="none" w:vAnchor="page" w:hAnchor="margin" w:x="6856" w:y="11659"/>
        <w:rPr>
          <w:rStyle w:val="C22"/>
          <w:rtl w:val="0"/>
        </w:rPr>
      </w:pPr>
      <w:r>
        <w:rPr>
          <w:rStyle w:val="C22"/>
          <w:rtl w:val="0"/>
        </w:rPr>
        <w:t>Praktické předvedení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Popsat organizaci vlastní fumigační práce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d) Uvést způsob hlášení použití jedů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e) Vysvětlit, co je to úroveň hermetizace</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f) Popsat metody kontroly zkoušky těsnosti</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Písemné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všechny kritéria.</w:t>
      </w:r>
    </w:p>
    <w:p>
      <w:pPr>
        <w:pStyle w:val="P23"/>
        <w:framePr w:w="10710" w:h="340" w:hRule="exact" w:wrap="none" w:vAnchor="page" w:hAnchor="margin" w:x="28" w:y="4647"/>
        <w:rPr>
          <w:rStyle w:val="C18"/>
          <w:rtl w:val="0"/>
        </w:rPr>
      </w:pPr>
      <w:r>
        <w:rPr>
          <w:rStyle w:val="C18"/>
          <w:rtl w:val="0"/>
        </w:rPr>
        <w:t>Provádění fumigace kyanovodíkem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a vysvětlit postup při vlastním zaplynování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Provést a vysvětlit způsob větrání objektu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Předvést a vysvětlit metody stanovení kyanovodíku v ovzduší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Provádění fumigace fosforovodíkem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Předvést a vysvětlit metody ošetření komodit v silech</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607" w:hRule="exact" w:wrap="none" w:vAnchor="page" w:hAnchor="margin" w:x="45" w:y="8939"/>
        <w:rPr>
          <w:rStyle w:val="C3"/>
          <w:rtl w:val="0"/>
        </w:rPr>
      </w:pPr>
    </w:p>
    <w:p>
      <w:pPr>
        <w:pStyle w:val="P17"/>
        <w:framePr w:w="6658" w:h="480" w:hRule="exact" w:wrap="none" w:vAnchor="page" w:hAnchor="margin" w:x="71" w:y="8995"/>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8939"/>
        <w:rPr>
          <w:rStyle w:val="C3"/>
          <w:rtl w:val="0"/>
        </w:rPr>
      </w:pPr>
    </w:p>
    <w:p>
      <w:pPr>
        <w:pStyle w:val="P31"/>
        <w:framePr w:w="3839" w:h="480"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Předvést a vysvětlit metody stanovení fosforovodíku v ovzduší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Provádění fumigace sulfurylfluoridem</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přípravu objektu, odstranění předmětů</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Písemné a 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Popsat utěsnění a uzavření objektu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Písemné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Popsat způsob napouštění plynu, větrání po fumigaci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Písemné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Používání metod řízených atmosfér</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Popsat výhody a nevýhody řízených atmosfér</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Písemné a ústní ověření</w:t>
      </w:r>
    </w:p>
    <w:p>
      <w:pPr>
        <w:pStyle w:val="P16"/>
        <w:framePr w:w="6710" w:h="607" w:hRule="exact" w:wrap="none" w:vAnchor="page" w:hAnchor="margin" w:x="45" w:y="14533"/>
        <w:rPr>
          <w:rStyle w:val="C3"/>
          <w:rtl w:val="0"/>
        </w:rPr>
      </w:pPr>
    </w:p>
    <w:p>
      <w:pPr>
        <w:pStyle w:val="P17"/>
        <w:framePr w:w="6658" w:h="480" w:hRule="exact" w:wrap="none" w:vAnchor="page" w:hAnchor="margin" w:x="71" w:y="14589"/>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14533"/>
        <w:rPr>
          <w:rStyle w:val="C3"/>
          <w:rtl w:val="0"/>
        </w:rPr>
      </w:pPr>
    </w:p>
    <w:p>
      <w:pPr>
        <w:pStyle w:val="P31"/>
        <w:framePr w:w="3839" w:h="480" w:hRule="exact" w:wrap="none" w:vAnchor="page" w:hAnchor="margin" w:x="6856" w:y="14589"/>
        <w:rPr>
          <w:rStyle w:val="C22"/>
          <w:rtl w:val="0"/>
        </w:rPr>
      </w:pPr>
      <w:r>
        <w:rPr>
          <w:rStyle w:val="C22"/>
          <w:rtl w:val="0"/>
        </w:rPr>
        <w:t>Písemné a ústní ověření</w:t>
      </w:r>
    </w:p>
    <w:p>
      <w:pPr>
        <w:pStyle w:val="P12"/>
        <w:framePr w:w="6710" w:h="376" w:hRule="exact" w:wrap="none" w:vAnchor="page" w:hAnchor="margin" w:x="45" w:y="15139"/>
        <w:rPr>
          <w:rStyle w:val="C3"/>
          <w:rtl w:val="0"/>
        </w:rPr>
      </w:pPr>
    </w:p>
    <w:p>
      <w:pPr>
        <w:pStyle w:val="P13"/>
        <w:framePr w:w="6658" w:h="249" w:hRule="exact" w:wrap="none" w:vAnchor="page" w:hAnchor="margin" w:x="71" w:y="15195"/>
        <w:rPr>
          <w:rStyle w:val="C11"/>
          <w:rtl w:val="0"/>
        </w:rPr>
      </w:pPr>
      <w:r>
        <w:rPr>
          <w:rStyle w:val="C11"/>
          <w:rtl w:val="0"/>
        </w:rPr>
        <w:t>c) Popsat postup při vytváření řízené atmosféry</w:t>
      </w:r>
    </w:p>
    <w:p>
      <w:pPr>
        <w:pStyle w:val="P28"/>
        <w:framePr w:w="3921" w:h="376" w:hRule="exact" w:wrap="none" w:vAnchor="page" w:hAnchor="margin" w:x="6800" w:y="15139"/>
        <w:rPr>
          <w:rStyle w:val="C3"/>
          <w:rtl w:val="0"/>
        </w:rPr>
      </w:pPr>
    </w:p>
    <w:p>
      <w:pPr>
        <w:pStyle w:val="P29"/>
        <w:framePr w:w="3839" w:h="249" w:hRule="exact" w:wrap="none" w:vAnchor="page" w:hAnchor="margin" w:x="6856" w:y="15195"/>
        <w:rPr>
          <w:rStyle w:val="C21"/>
          <w:rtl w:val="0"/>
        </w:rPr>
      </w:pPr>
      <w:r>
        <w:rPr>
          <w:rStyle w:val="C21"/>
          <w:rtl w:val="0"/>
        </w:rPr>
        <w:t>Písemné a 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8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34"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vzorky přípravku, obsahujícího kyanovodík a fosforovodík, aby mohlo být ověřeno řádné zacházení s danými přípravky.</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Doba přípravy na zkoušku</w:t>
      </w:r>
    </w:p>
    <w:p>
      <w:pPr>
        <w:keepNext w:val="0"/>
        <w:keepLines w:val="0"/>
        <w:framePr w:w="10766" w:h="1036"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450"/>
        <w:rPr>
          <w:rStyle w:val="C3"/>
          <w:rtl w:val="0"/>
        </w:rPr>
      </w:pPr>
    </w:p>
    <w:p>
      <w:pPr>
        <w:pStyle w:val="P35"/>
        <w:framePr w:w="10710" w:h="340" w:hRule="exact" w:wrap="none" w:vAnchor="page" w:hAnchor="margin" w:x="28" w:y="13450"/>
        <w:rPr>
          <w:rStyle w:val="C25"/>
          <w:rtl w:val="0"/>
        </w:rPr>
      </w:pPr>
      <w:r>
        <w:rPr>
          <w:rStyle w:val="C25"/>
          <w:rtl w:val="0"/>
        </w:rPr>
        <w:t>Doba pro vykonání zkoušky</w:t>
      </w:r>
    </w:p>
    <w:p>
      <w:pPr>
        <w:keepNext w:val="0"/>
        <w:keepLines w:val="0"/>
        <w:framePr w:w="10766" w:h="806" w:hRule="exact" w:wrap="none" w:vAnchor="page" w:hAnchor="margin" w:x="0" w:y="13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s fumiganty, 31.7.2026 13:14:12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