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842DA3" Type="http://schemas.openxmlformats.org/officeDocument/2006/relationships/officeDocument" Target="/word/document.xml" /><Relationship Id="coreR73842DA3" Type="http://schemas.openxmlformats.org/package/2006/relationships/metadata/core-properties" Target="/docProps/core.xml" /><Relationship Id="customR73842D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 zemědělská poradkyně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příznaky poškození rostliny škodlivými organismy a abiotickými faktory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Vyhodnotit stupeň poškození porostu, stanovit prognózu dalšího vývoje škodlivého organizmu v poškozeném porostu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Určit škodlivé organismy rostlin na předložených ukázkách</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831" w:hRule="exact" w:wrap="none" w:vAnchor="page" w:hAnchor="margin" w:x="45" w:y="7503"/>
        <w:rPr>
          <w:rStyle w:val="C3"/>
          <w:rtl w:val="0"/>
        </w:rPr>
      </w:pPr>
    </w:p>
    <w:p>
      <w:pPr>
        <w:pStyle w:val="P13"/>
        <w:framePr w:w="6658" w:h="704" w:hRule="exact" w:wrap="none" w:vAnchor="page" w:hAnchor="margin" w:x="71" w:y="7559"/>
        <w:rPr>
          <w:rStyle w:val="C11"/>
          <w:rtl w:val="0"/>
        </w:rPr>
      </w:pPr>
      <w:r>
        <w:rPr>
          <w:rStyle w:val="C11"/>
          <w:rtl w:val="0"/>
        </w:rPr>
        <w:t>a) Navrhnout soubor preventivních a přímých opatření v ochraně proti živočišným škůdcům v daných podmínkách při respektování zásad integrované ochrany rostlin</w:t>
      </w:r>
    </w:p>
    <w:p>
      <w:pPr>
        <w:pStyle w:val="P28"/>
        <w:framePr w:w="3921" w:h="831" w:hRule="exact" w:wrap="none" w:vAnchor="page" w:hAnchor="margin" w:x="6800" w:y="7503"/>
        <w:rPr>
          <w:rStyle w:val="C3"/>
          <w:rtl w:val="0"/>
        </w:rPr>
      </w:pPr>
    </w:p>
    <w:p>
      <w:pPr>
        <w:pStyle w:val="P29"/>
        <w:framePr w:w="3839" w:h="704" w:hRule="exact" w:wrap="none" w:vAnchor="page" w:hAnchor="margin" w:x="6856" w:y="7559"/>
        <w:rPr>
          <w:rStyle w:val="C21"/>
          <w:rtl w:val="0"/>
        </w:rPr>
      </w:pPr>
      <w:r>
        <w:rPr>
          <w:rStyle w:val="C21"/>
          <w:rtl w:val="0"/>
        </w:rPr>
        <w:t>Praktické předvedení a ústní ověření</w:t>
      </w:r>
    </w:p>
    <w:p>
      <w:pPr>
        <w:pStyle w:val="P16"/>
        <w:framePr w:w="6710" w:h="831" w:hRule="exact" w:wrap="none" w:vAnchor="page" w:hAnchor="margin" w:x="45" w:y="8334"/>
        <w:rPr>
          <w:rStyle w:val="C3"/>
          <w:rtl w:val="0"/>
        </w:rPr>
      </w:pPr>
    </w:p>
    <w:p>
      <w:pPr>
        <w:pStyle w:val="P17"/>
        <w:framePr w:w="6658" w:h="704" w:hRule="exact" w:wrap="none" w:vAnchor="page" w:hAnchor="margin" w:x="71" w:y="8390"/>
        <w:rPr>
          <w:rStyle w:val="C13"/>
          <w:rtl w:val="0"/>
        </w:rPr>
      </w:pPr>
      <w:r>
        <w:rPr>
          <w:rStyle w:val="C13"/>
          <w:rtl w:val="0"/>
        </w:rPr>
        <w:t>b) Navrhnout soubor preventivních a přímých opatření k regulaci konkrétních plevelů v daných podmínkách při respektování zásad integrované ochrany rostlin</w:t>
      </w:r>
    </w:p>
    <w:p>
      <w:pPr>
        <w:pStyle w:val="P30"/>
        <w:framePr w:w="3921" w:h="831" w:hRule="exact" w:wrap="none" w:vAnchor="page" w:hAnchor="margin" w:x="6800" w:y="8334"/>
        <w:rPr>
          <w:rStyle w:val="C3"/>
          <w:rtl w:val="0"/>
        </w:rPr>
      </w:pPr>
    </w:p>
    <w:p>
      <w:pPr>
        <w:pStyle w:val="P31"/>
        <w:framePr w:w="3839" w:h="704" w:hRule="exact" w:wrap="none" w:vAnchor="page" w:hAnchor="margin" w:x="6856" w:y="8390"/>
        <w:rPr>
          <w:rStyle w:val="C22"/>
          <w:rtl w:val="0"/>
        </w:rPr>
      </w:pPr>
      <w:r>
        <w:rPr>
          <w:rStyle w:val="C22"/>
          <w:rtl w:val="0"/>
        </w:rPr>
        <w:t>Praktické předvedení a ústní ověření</w:t>
      </w:r>
    </w:p>
    <w:p>
      <w:pPr>
        <w:pStyle w:val="P12"/>
        <w:framePr w:w="6710" w:h="831" w:hRule="exact" w:wrap="none" w:vAnchor="page" w:hAnchor="margin" w:x="45" w:y="9165"/>
        <w:rPr>
          <w:rStyle w:val="C3"/>
          <w:rtl w:val="0"/>
        </w:rPr>
      </w:pPr>
    </w:p>
    <w:p>
      <w:pPr>
        <w:pStyle w:val="P13"/>
        <w:framePr w:w="6658" w:h="704" w:hRule="exact" w:wrap="none" w:vAnchor="page" w:hAnchor="margin" w:x="71" w:y="9221"/>
        <w:rPr>
          <w:rStyle w:val="C11"/>
          <w:rtl w:val="0"/>
        </w:rPr>
      </w:pPr>
      <w:r>
        <w:rPr>
          <w:rStyle w:val="C11"/>
          <w:rtl w:val="0"/>
        </w:rPr>
        <w:t>c) Navrhnout soubor preventivních a přímých opatření k ochraně proti virům, bakteriím a houbovým patogenům v daných podmínkách při respektování zásad integrované ochrany rostlin</w:t>
      </w:r>
    </w:p>
    <w:p>
      <w:pPr>
        <w:pStyle w:val="P28"/>
        <w:framePr w:w="3921" w:h="831" w:hRule="exact" w:wrap="none" w:vAnchor="page" w:hAnchor="margin" w:x="6800" w:y="9165"/>
        <w:rPr>
          <w:rStyle w:val="C3"/>
          <w:rtl w:val="0"/>
        </w:rPr>
      </w:pPr>
    </w:p>
    <w:p>
      <w:pPr>
        <w:pStyle w:val="P29"/>
        <w:framePr w:w="3839" w:h="704" w:hRule="exact" w:wrap="none" w:vAnchor="page" w:hAnchor="margin" w:x="6856" w:y="9221"/>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Vyhodnocení účinnosti provedených ochranných opatření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Na základě údajů v evidenci přípravků posoudit účinnost provedené aplikace přípravku na ochranu rostlin včetně vlivu na životní prostředí</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Praktické předvedení a ústní ověření</w:t>
      </w:r>
    </w:p>
    <w:p>
      <w:pPr>
        <w:pStyle w:val="P16"/>
        <w:framePr w:w="6710" w:h="376" w:hRule="exact" w:wrap="none" w:vAnchor="page" w:hAnchor="margin" w:x="45" w:y="11968"/>
        <w:rPr>
          <w:rStyle w:val="C3"/>
          <w:rtl w:val="0"/>
        </w:rPr>
      </w:pPr>
    </w:p>
    <w:p>
      <w:pPr>
        <w:pStyle w:val="P17"/>
        <w:framePr w:w="6658" w:h="249" w:hRule="exact" w:wrap="none" w:vAnchor="page" w:hAnchor="margin" w:x="71" w:y="12024"/>
        <w:rPr>
          <w:rStyle w:val="C13"/>
          <w:rtl w:val="0"/>
        </w:rPr>
      </w:pPr>
      <w:r>
        <w:rPr>
          <w:rStyle w:val="C13"/>
          <w:rtl w:val="0"/>
        </w:rPr>
        <w:t>b) Vysvětlit princip antirezistentní strategie na zadaném příkladu</w:t>
      </w:r>
    </w:p>
    <w:p>
      <w:pPr>
        <w:pStyle w:val="P30"/>
        <w:framePr w:w="3921" w:h="376" w:hRule="exact" w:wrap="none" w:vAnchor="page" w:hAnchor="margin" w:x="6800" w:y="11968"/>
        <w:rPr>
          <w:rStyle w:val="C3"/>
          <w:rtl w:val="0"/>
        </w:rPr>
      </w:pPr>
    </w:p>
    <w:p>
      <w:pPr>
        <w:pStyle w:val="P31"/>
        <w:framePr w:w="3839" w:h="249" w:hRule="exact" w:wrap="none" w:vAnchor="page" w:hAnchor="margin" w:x="6856" w:y="12024"/>
        <w:rPr>
          <w:rStyle w:val="C22"/>
          <w:rtl w:val="0"/>
        </w:rPr>
      </w:pPr>
      <w:r>
        <w:rPr>
          <w:rStyle w:val="C22"/>
          <w:rtl w:val="0"/>
        </w:rPr>
        <w:t>Praktické předvedení a ústní ověření</w:t>
      </w:r>
    </w:p>
    <w:p>
      <w:pPr>
        <w:pStyle w:val="P12"/>
        <w:framePr w:w="6710" w:h="607" w:hRule="exact" w:wrap="none" w:vAnchor="page" w:hAnchor="margin" w:x="45" w:y="12344"/>
        <w:rPr>
          <w:rStyle w:val="C3"/>
          <w:rtl w:val="0"/>
        </w:rPr>
      </w:pPr>
    </w:p>
    <w:p>
      <w:pPr>
        <w:pStyle w:val="P13"/>
        <w:framePr w:w="6658" w:h="480" w:hRule="exact" w:wrap="none" w:vAnchor="page" w:hAnchor="margin" w:x="71" w:y="12400"/>
        <w:rPr>
          <w:rStyle w:val="C11"/>
          <w:rtl w:val="0"/>
        </w:rPr>
      </w:pPr>
      <w:r>
        <w:rPr>
          <w:rStyle w:val="C11"/>
          <w:rtl w:val="0"/>
        </w:rPr>
        <w:t>c) Vyhodnotit správnost provedených opatření na zadaném příkladu preventivních a přímých opatření v ochraně proti škodlivým organizmům</w:t>
      </w:r>
    </w:p>
    <w:p>
      <w:pPr>
        <w:pStyle w:val="P28"/>
        <w:framePr w:w="3921" w:h="607" w:hRule="exact" w:wrap="none" w:vAnchor="page" w:hAnchor="margin" w:x="6800" w:y="12344"/>
        <w:rPr>
          <w:rStyle w:val="C3"/>
          <w:rtl w:val="0"/>
        </w:rPr>
      </w:pPr>
    </w:p>
    <w:p>
      <w:pPr>
        <w:pStyle w:val="P29"/>
        <w:framePr w:w="3839" w:h="480" w:hRule="exact" w:wrap="none" w:vAnchor="page" w:hAnchor="margin" w:x="6856" w:y="12400"/>
        <w:rPr>
          <w:rStyle w:val="C21"/>
          <w:rtl w:val="0"/>
        </w:rPr>
      </w:pPr>
      <w:r>
        <w:rPr>
          <w:rStyle w:val="C21"/>
          <w:rtl w:val="0"/>
        </w:rPr>
        <w:t>Praktické předvedení a ústní ověření</w:t>
      </w:r>
    </w:p>
    <w:p>
      <w:pPr>
        <w:pStyle w:val="P32"/>
        <w:framePr w:w="10710" w:h="248" w:hRule="exact" w:wrap="none" w:vAnchor="page" w:hAnchor="margin" w:x="28" w:y="130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nebezpečný pro včely, zvěř, vodní organismy a další necílové organismy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postup při zjištění úhynu včel, vodních organismů a ostatních necílových organismů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ochranných pásmech vodních zdrojů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b) Vysvětlit zásady omezení použití přípravků na ochranu rostlin ve vztahu k ochranným pásmům vodních zdrojů, povrchovým vodám, necílovým organizmům apod.</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969"/>
        <w:rPr>
          <w:rStyle w:val="C3"/>
          <w:rtl w:val="0"/>
        </w:rPr>
      </w:pPr>
    </w:p>
    <w:p>
      <w:pPr>
        <w:pStyle w:val="P13"/>
        <w:framePr w:w="6658" w:h="704" w:hRule="exact" w:wrap="none" w:vAnchor="page" w:hAnchor="margin" w:x="71" w:y="8025"/>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7969"/>
        <w:rPr>
          <w:rStyle w:val="C3"/>
          <w:rtl w:val="0"/>
        </w:rPr>
      </w:pPr>
    </w:p>
    <w:p>
      <w:pPr>
        <w:pStyle w:val="P29"/>
        <w:framePr w:w="3839" w:h="704" w:hRule="exact" w:wrap="none" w:vAnchor="page" w:hAnchor="margin" w:x="6856" w:y="8025"/>
        <w:rPr>
          <w:rStyle w:val="C21"/>
          <w:rtl w:val="0"/>
        </w:rPr>
      </w:pPr>
      <w:r>
        <w:rPr>
          <w:rStyle w:val="C21"/>
          <w:rtl w:val="0"/>
        </w:rPr>
        <w:t>Praktické předvedení a ústní ověření</w:t>
      </w:r>
    </w:p>
    <w:p>
      <w:pPr>
        <w:pStyle w:val="P16"/>
        <w:framePr w:w="6710" w:h="607" w:hRule="exact" w:wrap="none" w:vAnchor="page" w:hAnchor="margin" w:x="45" w:y="8800"/>
        <w:rPr>
          <w:rStyle w:val="C3"/>
          <w:rtl w:val="0"/>
        </w:rPr>
      </w:pPr>
    </w:p>
    <w:p>
      <w:pPr>
        <w:pStyle w:val="P17"/>
        <w:framePr w:w="6658" w:h="480" w:hRule="exact" w:wrap="none" w:vAnchor="page" w:hAnchor="margin" w:x="71" w:y="8856"/>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800"/>
        <w:rPr>
          <w:rStyle w:val="C3"/>
          <w:rtl w:val="0"/>
        </w:rPr>
      </w:pPr>
    </w:p>
    <w:p>
      <w:pPr>
        <w:pStyle w:val="P31"/>
        <w:framePr w:w="3839" w:h="480" w:hRule="exact" w:wrap="none" w:vAnchor="page" w:hAnchor="margin" w:x="6856" w:y="8856"/>
        <w:rPr>
          <w:rStyle w:val="C22"/>
          <w:rtl w:val="0"/>
        </w:rPr>
      </w:pPr>
      <w:r>
        <w:rPr>
          <w:rStyle w:val="C22"/>
          <w:rtl w:val="0"/>
        </w:rPr>
        <w:t>Ústní ověření</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Posouzení plnění podmínek Kontroly podmíněnosti v oblasti ochrany rostlin</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Určit na konkrétním pozemku se zemědělskou kulturou omezující podmínky pro aplikaci přípravků s využitím údajů v LPIS</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 a ústní ověření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Posoudit stav plnění zákonných požadavků Kontroly podmíněnosti v oblasti ochrany rostlin na modelové situaci</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607" w:hRule="exact" w:wrap="none" w:vAnchor="page" w:hAnchor="margin" w:x="45" w:y="11985"/>
        <w:rPr>
          <w:rStyle w:val="C3"/>
          <w:rtl w:val="0"/>
        </w:rPr>
      </w:pPr>
    </w:p>
    <w:p>
      <w:pPr>
        <w:pStyle w:val="P13"/>
        <w:framePr w:w="6658" w:h="480" w:hRule="exact" w:wrap="none" w:vAnchor="page" w:hAnchor="margin" w:x="71" w:y="12041"/>
        <w:rPr>
          <w:rStyle w:val="C11"/>
          <w:rtl w:val="0"/>
        </w:rPr>
      </w:pPr>
      <w:r>
        <w:rPr>
          <w:rStyle w:val="C11"/>
          <w:rtl w:val="0"/>
        </w:rPr>
        <w:t>c) Stanovit s použitím příslušné příručky snížení podpory při neplnění dvou zadaných kontrolovaných požadavků</w:t>
      </w:r>
    </w:p>
    <w:p>
      <w:pPr>
        <w:pStyle w:val="P28"/>
        <w:framePr w:w="3921" w:h="607" w:hRule="exact" w:wrap="none" w:vAnchor="page" w:hAnchor="margin" w:x="6800" w:y="11985"/>
        <w:rPr>
          <w:rStyle w:val="C3"/>
          <w:rtl w:val="0"/>
        </w:rPr>
      </w:pPr>
    </w:p>
    <w:p>
      <w:pPr>
        <w:pStyle w:val="P29"/>
        <w:framePr w:w="3839" w:h="480" w:hRule="exact" w:wrap="none" w:vAnchor="page" w:hAnchor="margin" w:x="6856" w:y="12041"/>
        <w:rPr>
          <w:rStyle w:val="C21"/>
          <w:rtl w:val="0"/>
        </w:rPr>
      </w:pPr>
      <w:r>
        <w:rPr>
          <w:rStyle w:val="C21"/>
          <w:rtl w:val="0"/>
        </w:rPr>
        <w:t>Praktické předvedení</w:t>
      </w:r>
    </w:p>
    <w:p>
      <w:pPr>
        <w:pStyle w:val="P32"/>
        <w:framePr w:w="10710" w:h="248" w:hRule="exact" w:wrap="none" w:vAnchor="page" w:hAnchor="margin" w:x="28" w:y="127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legislativní předpisy v oblasti rostlinolékařské péče v ČR a EU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použití zadaného přípravku na ochranu rostlin respektující platnou legislativu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zadané údaje v Registru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zadané údaje na Rostlinolékařském portále</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Využít další informační zdroje z oblasti ochrany rostlin k řešení zadaného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Prezentovat a obhájit navržený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 a ústní obhajoba</w:t>
      </w:r>
    </w:p>
    <w:p>
      <w:pPr>
        <w:pStyle w:val="P32"/>
        <w:framePr w:w="10710" w:h="248" w:hRule="exact" w:wrap="none" w:vAnchor="page" w:hAnchor="margin" w:x="28" w:y="1041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odborné způsobilosti III. stupně pro zacházení s přípravky na ochranu rostlin (dle zákona č. 326/2004 Sb.,o rostlinolékařské péči a o změně některých souvisejících zákonů, § 86).</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část zkoušky probíhá v porostu, je třeba zkoušku konat v průběhu vegetačního období.</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Posouzení stavu porostu zemědělské plodiny ve všech vývojových fázích a určení škodlivých činitelů</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u kritérií a), b), c) v porostu. U kritéria d) bude uchazečům předloženo 20 vzorků. Pro úspěšné absolvování zkoušky je nezbytné správně určit minimálně 75 % předložených vzorků.</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Navrhování preventivních a přímých opatření k regulaci škodlivých organismů při respektování zásad integrované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aby byl k dispozici přístup na internet. Kritéria a), b), c), budou ověřována v porostu zadané plodiny. V porostu určí uchazeč škodlivé činitele a následně ve zkušební místnosti uchazeč stanoví doporučené přípravky na ochranu rostlin.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Posouzení plnění podmínek Kontroly podmíněnosti v oblasti ochrany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c) je třeba mít k dispozici příručku Průvodce zemědělce kontrolou podmíněnosti platnou pro aktuální rok a připraveno konkrétní zadání pro výpočet snížení podpory. </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Práce s databázemi a informačními systémy v oblasti ochrany rostlin, aplikace nových poznatků do praxe</w:t>
      </w:r>
      <w:r>
        <w:rPr>
          <w:rFonts w:ascii="Arial" w:cs="Arial" w:hAnsi="Arial" w:eastAsia="Arial"/>
          <w:b w:val="0"/>
          <w:i w:val="0"/>
          <w:caps w:val="0"/>
          <w:strike w:val="0"/>
          <w:noProof w:val="0"/>
          <w:vanish w:val="0"/>
          <w:color w:val="auto"/>
          <w:sz w:val="20"/>
          <w:u w:val="none"/>
          <w:shd w:val="clear" w:color="auto" w:fill="auto"/>
          <w:vertAlign w:val="baseline"/>
          <w:lang/>
        </w:rPr>
        <w:t xml:space="preserve"> je třeba mít k dispozici přístup na internet.</w:t>
      </w:r>
    </w:p>
    <w:p>
      <w:pPr>
        <w:keepNext w:val="0"/>
        <w:keepLines w:val="0"/>
        <w:framePr w:w="10766" w:h="93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Zpracování projektu v oblasti ochrany rostlin pro dané podmínky, jeho prezentace a obhajoba</w:t>
      </w:r>
      <w:r>
        <w:rPr>
          <w:rFonts w:ascii="Arial" w:cs="Arial" w:hAnsi="Arial" w:eastAsia="Arial"/>
          <w:b w:val="0"/>
          <w:i w:val="0"/>
          <w:caps w:val="0"/>
          <w:strike w:val="0"/>
          <w:noProof w:val="0"/>
          <w:vanish w:val="0"/>
          <w:color w:val="auto"/>
          <w:sz w:val="20"/>
          <w:u w:val="none"/>
          <w:shd w:val="clear" w:color="auto" w:fill="auto"/>
          <w:vertAlign w:val="baseline"/>
          <w:lang/>
        </w:rPr>
        <w:t xml:space="preserve"> je ověřována ústní obhajobou a prezentací projektu zadaného autorizovanou osobou v rozsahu 10 až 20 minut. Uchazeč zpracuje projekt před vykonáním zkoušky v elektronické nebo písemné podobě. Pro zpracování projektu musí být dodržena tato struktura: název projektu, základní informace o projektu, cíl projektu, vlastní práce, doporučení pro praxi, závěr. Projekt bude zpracován na téma zadané autorizovanou osobou, na řešení praktického poradenského úkolu např. v oblasti integrované ochrany rostlin vybraných plodin, nechemického způsobu ochrany rostlin, prognózy a signalizace. Míra rozsahu projektu bude alespoň 10 stran formátu A4. Termín odevzdání projektu bude 10 dní před konáním zkoušky formou, kterou určí autorizovaná osoba. </w:t>
      </w:r>
    </w:p>
    <w:p>
      <w:pPr>
        <w:pStyle w:val="P33"/>
        <w:framePr w:w="10766" w:h="2072"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Výsledné hodnocení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7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70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rostlinolékařství nebo ochranu rostlin a alespoň 5 let odborné praxe v oblasti ochrany rostlin.</w:t>
      </w:r>
    </w:p>
    <w:p>
      <w:pPr>
        <w:keepNext w:val="0"/>
        <w:keepLines w:val="1"/>
        <w:framePr w:w="10766" w:h="615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zemědělská a lesnická fytopatologie a ochrana rostlin a alespoň 5 let odborné praxe v oblasti ochrany rostlin.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71" w:hRule="exact" w:wrap="none" w:vAnchor="page" w:hAnchor="margin" w:x="0" w:y="10685"/>
        <w:rPr>
          <w:rStyle w:val="C3"/>
          <w:rtl w:val="0"/>
        </w:rPr>
      </w:pPr>
    </w:p>
    <w:p>
      <w:pPr>
        <w:pStyle w:val="P35"/>
        <w:framePr w:w="10710" w:h="340" w:hRule="exact" w:wrap="none" w:vAnchor="page" w:hAnchor="margin" w:x="28" w:y="10685"/>
        <w:rPr>
          <w:rStyle w:val="C25"/>
          <w:rtl w:val="0"/>
        </w:rPr>
      </w:pPr>
      <w:r>
        <w:rPr>
          <w:rStyle w:val="C25"/>
          <w:rtl w:val="0"/>
        </w:rPr>
        <w:t>Nezbytné materiální a technické předpoklady pro provedení zkoušky</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s minimálně 3 druhy zemědělských plodin</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k internetu (umožňující dálkový přístup pro práci s portály veřejné správy MZe, ÚKZÚZ, MŽP, ČZU a veřejnými vyhledavači)</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umožňující elektronickou prezentaci projektu</w:t>
      </w:r>
    </w:p>
    <w:p>
      <w:pPr>
        <w:keepNext w:val="0"/>
        <w:keepLines w:val="1"/>
        <w:framePr w:w="10766" w:h="2731" w:hRule="exact" w:wrap="none" w:vAnchor="page" w:hAnchor="margin" w:x="0" w:y="1102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Průvodce zemědělce kontrolou podmíněnosti.</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31" w:hRule="exact" w:wrap="none" w:vAnchor="page" w:hAnchor="margin" w:x="0" w:y="110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83"/>
        <w:rPr>
          <w:rStyle w:val="C3"/>
          <w:rtl w:val="0"/>
        </w:rPr>
      </w:pPr>
    </w:p>
    <w:p>
      <w:pPr>
        <w:pStyle w:val="P35"/>
        <w:framePr w:w="10710" w:h="340" w:hRule="exact" w:wrap="none" w:vAnchor="page" w:hAnchor="margin" w:x="28" w:y="13983"/>
        <w:rPr>
          <w:rStyle w:val="C25"/>
          <w:rtl w:val="0"/>
        </w:rPr>
      </w:pPr>
      <w:r>
        <w:rPr>
          <w:rStyle w:val="C25"/>
          <w:rtl w:val="0"/>
        </w:rPr>
        <w:t>Doba přípravy na zkoušku</w:t>
      </w:r>
    </w:p>
    <w:p>
      <w:pPr>
        <w:keepNext w:val="0"/>
        <w:keepLines w:val="0"/>
        <w:framePr w:w="10766" w:h="806" w:hRule="exact" w:wrap="none" w:vAnchor="page" w:hAnchor="margin" w:x="0" w:y="143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Ústřední kontrolní a zkušební ústav zemědělský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Zemědělský poradce / zemědělská poradkyně pro ochranu rostlin, 9.9.2026 20:03:33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924D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406B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