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D8F02" Type="http://schemas.openxmlformats.org/officeDocument/2006/relationships/officeDocument" Target="/word/document.xml" /><Relationship Id="coreR260D8F02" Type="http://schemas.openxmlformats.org/package/2006/relationships/metadata/core-properties" Target="/docProps/core.xml" /><Relationship Id="customR260D8F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13.02.2013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odbornou způsobilost pro zacházení s přípravky na ochranu rostlin. Musí mít vysokoškolské nebo střední vzdělání s maturitní zkouškou v oboru se zaměřením na ochranu rostlin a minimálně 3 roky praxe v ochraně rostlin.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„Posouzení stavu porostu zemědělské plodiny ve všech vývojových fázích a určení škodlivých činitelů“ bude ověřována v porostu nebo na předložených vzorcích.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„Navrhování preventivních a přímých opatření k regulaci škodlivých organismů při respektování zásad integrované ochrany rostlin“ je třeba, aby byl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„Stanovit snížení podpory při neplnění dvou zadaných kontrolovaných požadavků“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„Práce s databázemi a informačními systémy v oblasti ochrany rostlin, aplikace nových poznatků do praxe“ je třeba mít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„Zpracování projektu v oblasti ochrany rostlin pro dané podmínky, jeho prezentace a obhajoba“ je ověřována obhajobou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rostlinolékařská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zemědělských věd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