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1300F" Type="http://schemas.openxmlformats.org/officeDocument/2006/relationships/officeDocument" Target="/word/document.xml" /><Relationship Id="coreR36D1300F" Type="http://schemas.openxmlformats.org/package/2006/relationships/metadata/core-properties" Target="/docProps/core.xml" /><Relationship Id="customR36D130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Betonování stavebních konstrukcí z prostého betonu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Betonování monolitických konstrukcí ze železobetonu,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prefabrikovaných železobetonových konstrukcí a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betonové vozovky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potěrů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poškozených betonových konstrukcí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Zesilování konstrukcí z betonu, železového a předpjatého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Betonování konstrukcí z vláknobetonu a drátkobetonu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betonářské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30.9.2026 6:42:09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https://nsp.cz/jednotka-prace/betonar-ee11#zdravotni-zpusobilost).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sledováno: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30.9.2026 6:42:09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30.9.2026 6:42:09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