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1C6733" Type="http://schemas.openxmlformats.org/officeDocument/2006/relationships/officeDocument" Target="/word/document.xml" /><Relationship Id="coreR691C6733" Type="http://schemas.openxmlformats.org/package/2006/relationships/metadata/core-properties" Target="/docProps/core.xml" /><Relationship Id="customR691C67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výkresů výztuže a tvaru železobetonových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ukládání výztuže do forem a bednění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Betonování stavebních konstrukcí z prostého betonu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Betonování monolitických konstrukcí ze železobetonu, předpjatého betonu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Osazování prefabrikovaných železobetonových konstrukcí a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Zhotovení betonové vozovky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potěrů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Opravy poškozených betonových konstrukcí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Zesilování konstrukcí z betonu, železového a předpjatého betonu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Betonování konstrukcí z vláknobetonu a drátkobetonu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Ošetřování a údržba strojů a zařízení pro betonářské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https://nsp.cz/jednotka-prace/betonar-ee11#zdravotni-zpusobilost).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vychází z předvedené znalosti technologických postupů, ze zručnosti při provádění pracovních úkonů a z výsledné kvality práce. 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sledováno: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projektu.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Schopnost pracovat se strojním zařízením.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BOZP.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Vliv prováděných úkonů na majetek a prostředí odběratele.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Betonář/betonářka, 30.9.2026 7:38:29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