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F4C06B" Type="http://schemas.openxmlformats.org/officeDocument/2006/relationships/officeDocument" Target="/word/document.xml" /><Relationship Id="coreR78F4C06B" Type="http://schemas.openxmlformats.org/package/2006/relationships/metadata/core-properties" Target="/docProps/core.xml" /><Relationship Id="customR78F4C0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Betonář/betonářka (kód: 36-052-H)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Betonování stavebních konstrukcí z prostého betonu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Betonování monolitických konstrukcí ze železobetonu,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prefabrikovaných železobetonových konstrukcí a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betonové vozovky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potěrů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poškozených betonových konstrukcí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Zesilování konstrukcí z betonu, železového a předpjatého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Betonování konstrukcí z vláknobetonu a drátkobetonu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betonářské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Betonář/betonářka, 20.10.2026 12:35:23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https://nsp.cz/jednotka-prace/betonar-ee11#zdravotni-zpusobilost).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sledováno: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Betonář/betonářka, 20.10.2026 12:35:23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Betonář/betonářka, 20.10.2026 12:35:23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