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690A44" Type="http://schemas.openxmlformats.org/officeDocument/2006/relationships/officeDocument" Target="/word/document.xml" /><Relationship Id="coreR46690A44" Type="http://schemas.openxmlformats.org/package/2006/relationships/metadata/core-properties" Target="/docProps/core.xml" /><Relationship Id="customR46690A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ve strojírenství (kód: 23-020-H)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 lakovny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povrchu kovových součástí a výrobků před natíráním, stanovení způsobu jeho očištění, odmaštění, odstranění starých nátěrů a volba nátěrových hmot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povrchů kovových součástí a výrobků, tmelení a broušení tmelených ploch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nátěrových hmot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Nanášení nátěrových hmot na povrchy kovových součástí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souvisejících s prováděním povrchových úprav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programovatelných zařízení pro nanášení nátěrových hmot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Úpravy a dokončování povrchů kovových součástí a výrobků broušením a leštěním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kvality povrchových úprav a odstranění vad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ve strojírenství, 30.9.2026 4:44:45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https://www.nsp.cz/jednotka-prace/lakyrnik-ve-strojirenstvi#zdravotni-zpusobilost).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ve strojírenství, 30.9.2026 4:44:45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manufacturing,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ve strojírenství, 30.9.2026 4:44:45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