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02712F" Type="http://schemas.openxmlformats.org/officeDocument/2006/relationships/officeDocument" Target="/word/document.xml" /><Relationship Id="coreR3C02712F" Type="http://schemas.openxmlformats.org/package/2006/relationships/metadata/core-properties" Target="/docProps/core.xml" /><Relationship Id="customR3C0271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Lakýrník/lakýrnice ve strojírenství (kód: 23-020-H)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 lakovny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povrchu kovových součástí a výrobků před natíráním, stanovení způsobu jeho očištění, odmaštění, odstranění starých nátěrů a volba nátěrových hmot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povrchů kovových součástí a výrobků, tmelení a broušení tmelených ploch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Nanášení nátěrových hmot na povrchy kovových součástí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souvisejících s prováděním povrchových úprav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Úpravy a dokončování povrchů kovových součástí a výrobků broušením a leštěním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kvality povrchových úprav a odstranění vad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30.9.2026 6:54:49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https://www.nsp.cz/jednotka-prace/lakyrnik-ve-strojirenstvi#zdravotni-zpusobilost).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30.9.2026 6:54:49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30.9.2026 6:54:49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