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0D0A9" Type="http://schemas.openxmlformats.org/officeDocument/2006/relationships/officeDocument" Target="/word/document.xml" /><Relationship Id="coreR380D0A9" Type="http://schemas.openxmlformats.org/package/2006/relationships/metadata/core-properties" Target="/docProps/core.xml" /><Relationship Id="customR380D0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 ve strojírenství (kód: 23-020-H)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Lakýrník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provoze lakovny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povrchu kovových součástí a výrobků před natíráním, stanovení způsobu jeho očištění, odmaštění, odstranění starých nátěrů a volba nátěrových hmot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povrchů kovových součástí a výrobků, tmelení a broušení tmelených ploch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nátěrových hmot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Nanášení nátěrových hmot na povrchy kovových součástí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zařízení souvisejících s prováděním povrchových úprav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programovatelných zařízení pro nanášení nátěrových hmot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Úpravy a dokončování povrchů kovových součástí a výrobků broušením a leštěním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 kvality povrchových úprav a odstranění vad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29.04.2013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ve strojírenství, 30.9.2026 5:47:56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http://katalog.nsp.cz/karta_p.aspx?id_jp=101941&amp;kod_sm1=37).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ve strojírenství, 30.9.2026 5:47:56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 ustavená a licencovaná pro tuto činnost HK ČR a SP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MACHINERY, a.s.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a.s.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ve strojírenství, 30.9.2026 5:47:56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