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1EA09" Type="http://schemas.openxmlformats.org/officeDocument/2006/relationships/officeDocument" Target="/word/document.xml" /><Relationship Id="coreR6C31EA09" Type="http://schemas.openxmlformats.org/package/2006/relationships/metadata/core-properties" Target="/docProps/core.xml" /><Relationship Id="customR6C31EA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úzkoformátových flexotiskových kotoučových strojích (kód: 34-029-H)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úzkoformátových flexotiskových kotoučových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úzkoformátových flexotiskových kotoučových strojích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rastrových válců a tiskových barev na úzkoformátových flexotiskových kotoučových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seřízení úzkoformátových flexotiskových kotoučových strojů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úzkoformátových flexotiskových kotoučových strojích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Dokončení tisku, předání zakázky na úzkoformátových flexotiskových kotoučových strojích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ve flexotisku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úzkoformátových flexotiskových kotoučových strojích, 20.10.2026 9:51:29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nátisk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úzkoformátových flexotiskových kotoučových strojích, 20.10.2026 9:51:29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úzkoformátových flexotiskových kotoučových strojích, 20.10.2026 9:51:29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