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A9B33" Type="http://schemas.openxmlformats.org/officeDocument/2006/relationships/officeDocument" Target="/word/document.xml" /><Relationship Id="coreR2CDA9B33" Type="http://schemas.openxmlformats.org/package/2006/relationships/metadata/core-properties" Target="/docProps/core.xml" /><Relationship Id="customR2CDA9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širokoformátových flexotiskových kotoučových strojích (kód: 34-028-H)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širokoformátových flexotiskových kotoučových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širokoformátových flexotiskových kotoučových strojích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rastrových válců a tiskových barev na širokoformátových flexotiskových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seřízení širokoformátových flexotiskových kotoučových strojů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širokoformátových flexotiskových kotoučových strojích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Dokončení tisku, předání zakázky na širokoformátových flexotiskových kotoučových strojích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ve flexotisku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širokoformátových flexotiskových kotoučových strojích, 30.9.2026 5:51:32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nátisk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širokoformátových flexotiskových kotoučových strojích, 30.9.2026 5:51:32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širokoformátových flexotiskových kotoučových strojích, 30.9.2026 5:51:32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