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0728E4" Type="http://schemas.openxmlformats.org/officeDocument/2006/relationships/officeDocument" Target="/word/document.xml" /><Relationship Id="coreR250728E4" Type="http://schemas.openxmlformats.org/package/2006/relationships/metadata/core-properties" Target="/docProps/core.xml" /><Relationship Id="customR250728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novinových ofsetových kotoučových strojích (kód: 34-027-H)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novinových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novinových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novinových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novinových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novinových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novinových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novinových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novinových ofsetových kotoučových strojích, 18.10.2026 19:33:48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59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https://www.nsp.cz/jednotka-prace/tiskar-na-novinovych-ofse#zdravotni-zpusobilost) a prokazuje se lékařským potvrzením, že netrpí poruchou barvocitu (poruchou barevného vidění).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novinové složky předá uchazeč po podpisu výrobního sáčku zpět autorizované osobě, resp. autorizovanému zástupci autorizované osoby k dalšímu zpracování.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 na novinových ofsetových kotoučových strojích, 18.10.2026 19:33:48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novinových ofsetových kotoučových strojích, 18.10.2026 19:33:48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