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FAE447" Type="http://schemas.openxmlformats.org/officeDocument/2006/relationships/officeDocument" Target="/word/document.xml" /><Relationship Id="coreR4CFAE447" Type="http://schemas.openxmlformats.org/package/2006/relationships/metadata/core-properties" Target="/docProps/core.xml" /><Relationship Id="customR4CFAE4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 na novinových ofsetových kotoučových strojích (kód: 34-027-H)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novinových ofsetových kotoučových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novinových ofsetových kotoučových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 a tiskových barev na novinových ofsetových kotoučových strojích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 seřízení novinových ofsetových kotoučových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novinových ofsetových kotoučových strojích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Dokončení tisku, předání zakázky na novinových ofsetových kotoučových strojích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údržba a čištění tiskového stroje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řídící (RIP) a osvitové jednotky (CtP) (Computer to plate) včetně periférií, nastavení laserového osvitového zařízení, obsluha vyvolávací linky ve výrobě tiskových forem v novinovém ofsetu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29.04.2013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novinových ofsetových kotoučových strojích, 7.11.2026 17:56:56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http://katalog.nsp.cz/karta_p.aspx?id_jp=100233&amp;kod_sm1=33),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novinových ofsetových kotoučových strojích, 7.11.2026 17:56:56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Eclipse Print,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novinových ofsetových kotoučových strojích, 7.11.2026 17:56:56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