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3F6C9B5" Type="http://schemas.openxmlformats.org/officeDocument/2006/relationships/officeDocument" Target="/word/document.xml" /><Relationship Id="coreR43F6C9B5" Type="http://schemas.openxmlformats.org/package/2006/relationships/metadata/core-properties" Target="/docProps/core.xml" /><Relationship Id="customR43F6C9B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Tiskař/tiskařka na akcidenčních ofsetových kotoučových strojích (kód: 34-026-H)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Polygrafie, zpracování papíru, filmu a fotografie (kód: 34)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Tiskař na akcidenčních ofsetových kotoučových strojích</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Volba postupu tiskařské práce, potřebných pomůcek a barev na akcidenčních ofsetových kotoučových strojích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Převzetí výrobních podkladů pro tisk nové zakázky na akcidenčních ofsetových kotoučových strojích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Převzetí a příprava potiskovaného materiálu, tiskových forem a tiskových barev na akcidenčních ofsetových kotoučových strojích</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Příprava a seřízení akcidenčních ofsetových kotoučových strojů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Dodržení normativu při tisku celé zakázky na akcidenčních ofsetových kotoučových strojích</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Dokončení tisku, předání zakázky na akcidenčních ofsetových kotoučových strojích</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Kontrola, údržba a čištění tiskového stroje</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7"/>
        <w:framePr w:w="8788" w:h="340" w:hRule="exact" w:wrap="none" w:vAnchor="page" w:hAnchor="margin" w:x="28" w:y="8711"/>
        <w:rPr>
          <w:rStyle w:val="C8"/>
          <w:rtl w:val="0"/>
        </w:rPr>
      </w:pPr>
      <w:r>
        <w:rPr>
          <w:rStyle w:val="C8"/>
          <w:rtl w:val="0"/>
        </w:rPr>
        <w:t>Platnost standardu</w:t>
      </w:r>
    </w:p>
    <w:p>
      <w:pPr>
        <w:pStyle w:val="P20"/>
        <w:framePr w:w="2928" w:h="248" w:hRule="exact" w:wrap="none" w:vAnchor="page" w:hAnchor="margin" w:x="28" w:y="905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Tiskař/tiskařka na akcidenčních ofsetových kotoučových strojích, 18.10.2026 19:24:09</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6132"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s ohledem na 2. stupeň zátěže (odkaz na povolání v NSP – https://www.nsp.cz/jednotka-prace/tiskar-na-akcidencnich-of#zdravotni-zpusobilost) a prokazuje se lékařským potvrzením, že netrpí poruchou barvocitu (poruchou barevného vidění).</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je nutno prověřovat v rámci systémového řízení kvality ofsetového tisku a opírá se o tyto normy:</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12 647-1 Výroba tiskové formy</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12 647-2 Ofset</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12 647-7 Digitální kontrolní nátisk</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spočívá v prověření způsobilosti uchazeče vykonat zadanou operaci podle stanoveného technologického (pracovního) postupu, správně vykonávat činnosti spojené s obsluhou a základní údržbou příslušných strojů včetně provedení dokončovacích prací a provádění běžných výpočtů.</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jsou autorizovanou osobou, resp. autorizovaným zástupcem autorizované osoby předány z jednotlivých úseků pracoviště zaměřeného na tiskovou výrobu veškeré materiály k tisku dle zadání (výrobní podklady, potiskovaný materiál, tiskové formy, tiskové barvy) na základě popisu na výrobním sáčku. Vytištěné složky letáku předá uchazeč po podpisu výrobního sáčku zpět autorizované osobě, resp. autorizovanému zástupci autorizované osoby k dalšímu zpracování.</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úkolů založených na formě praktického předvedení je třeba přihlížet především k pravidlům BOZP a PO v rámci provádění všech úkonů, ke kvalitě zhotoveného produktu.</w:t>
      </w:r>
    </w:p>
    <w:p>
      <w:pPr>
        <w:pStyle w:val="P21"/>
        <w:framePr w:w="7654" w:h="331" w:hRule="exact" w:wrap="none" w:vAnchor="page" w:hAnchor="margin" w:x="28" w:y="15940"/>
        <w:rPr>
          <w:rStyle w:val="C16"/>
          <w:rtl w:val="0"/>
        </w:rPr>
      </w:pPr>
      <w:r>
        <w:rPr>
          <w:rStyle w:val="C16"/>
          <w:rtl w:val="0"/>
        </w:rPr>
        <w:t>Tiskař/tiskařka na akcidenčních ofsetových kotoučových strojích, 18.10.2026 19:24:09</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polygrafii, média a informační služby, ustavená a licencovaná pro tuto činnost HK ČR a SP ČR.</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Mediacore, s. r. o.</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grafická a SPŠ grafická Praha 1</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Svoboda Press</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Sprint servis</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Tiskař/tiskařka na akcidenčních ofsetových kotoučových strojích, 18.10.2026 19:24:09</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