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F74EA1" Type="http://schemas.openxmlformats.org/officeDocument/2006/relationships/officeDocument" Target="/word/document.xml" /><Relationship Id="coreR12F74EA1" Type="http://schemas.openxmlformats.org/package/2006/relationships/metadata/core-properties" Target="/docProps/core.xml" /><Relationship Id="customR12F74E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akcidenčních ofsetových kotoučových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akcidenčních ofsetových kotoučových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materiálu, tiskových forem a tiskových barev na akcidenčních ofsetových kotoučových strojích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 seřízení akcidenčních ofsetových kotoučových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akcidenčních ofsetových kotoučových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Dokončení tisku, předání zakázky na akcidenčních ofsetových kotoučových strojích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údržba a čištění tiskového stroje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Obsluha řídící (RIP) a osvitové jednotky (CtP) (Computer to plate) včetně periférií, nastavení laserového osvitového zařízení, obsluha vyvolávací linky ve výrobě tiskových forem v akcidenčním kotoučovém ofsetu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29.04.2013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18.10.2026 18:15:19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– http://katalog.nsp.cz/karta_p.aspx?id_jp=100233&amp;kod_sm1=33),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ofsetového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18.10.2026 18:15:19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Eclipse Print,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Tiskař na akcidenčních ofsetových kotoučových strojích, 18.10.2026 18:15:19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