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AC1FF9" Type="http://schemas.openxmlformats.org/officeDocument/2006/relationships/officeDocument" Target="/word/document.xml" /><Relationship Id="coreR6DAC1FF9" Type="http://schemas.openxmlformats.org/package/2006/relationships/metadata/core-properties" Target="/docProps/core.xml" /><Relationship Id="customR6DAC1F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Art grafik/grafička (kód: 34-017-H)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Art grafik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a výměna obrazových a textových podkladů při navrhování designu tiskovin a multimediálních programů ve spolupráci s grafickým studiem a zadavatelem zakázky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úpravy digitálních obrazových záznamů pomocí grafických programů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Projednávání grafického řešení reklam se zákazníky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Projednávání změn a úprav grafického zpracování složitějších výtvarných řešení reklam se zákazníky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grafik/grafička, 18.10.2026 16:27:19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- https://www.nsp.cz/jednotka-prace/art-grafik#zdravotni-zpusobilost),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Komunikace a výměna obrazových a textových podkladů při navrhování designu tiskovin a multimediálních programů ve spolupráci s grafickým studiem a zadavatelem zakázky má uchazeč možnost volby výběru kritérií d) a e) podle svého zaměření; při ověřování kompetence Projednávání změn a úprav grafického zpracování složitějších výtvarných řešení reklam se zákazníky má uchazeč možnost volby výběru kritérií a) a b).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grafik/grafička, 18.10.2026 16:27:19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grafik/grafička, 18.10.2026 16:27:19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