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BDE94A" Type="http://schemas.openxmlformats.org/officeDocument/2006/relationships/officeDocument" Target="/word/document.xml" /><Relationship Id="coreR79BDE94A" Type="http://schemas.openxmlformats.org/package/2006/relationships/metadata/core-properties" Target="/docProps/core.xml" /><Relationship Id="customR79BDE9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28.9.2026 12:44:33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https://www.nsp.cz/jednotka-prace/art-grafik#zdravotni-zpusobilost),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Komunikace a výměna obrazových a textových podkladů při navrhování designu tiskovin a multimediálních programů ve spolupráci s grafickým studiem a zadavatelem zakázky má uchazeč možnost volby výběru kritérií d) a e) podle svého zaměření; při ověřování kompetence Projednávání změn a úprav grafického zpracování složitějších výtvarných řešení reklam se zákazníky má uchazeč možnost volby výběru kritérií a) a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28.9.2026 12:44:33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28.9.2026 12:44:33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