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88DF13" Type="http://schemas.openxmlformats.org/officeDocument/2006/relationships/officeDocument" Target="/word/document.xml" /><Relationship Id="coreR7588DF13" Type="http://schemas.openxmlformats.org/package/2006/relationships/metadata/core-properties" Target="/docProps/core.xml" /><Relationship Id="customR7588D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28.9.2026 14:50:48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https://www.nsp.cz/jednotka-prace/art-grafik#zdravotni-zpusobilost),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Komunikace a výměna obrazových a textových podkladů při navrhování designu tiskovin a multimediálních programů ve spolupráci s grafickým studiem a zadavatelem zakázky má uchazeč možnost volby výběru kritérií d) a e) podle svého zaměření; při ověřování kompetence Projednávání změn a úprav grafického zpracování složitějších výtvarných řešení reklam se zákazníky má uchazeč možnost volby výběru kritérií a) a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28.9.2026 14:50:48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28.9.2026 14:50:48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