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50062" Type="http://schemas.openxmlformats.org/officeDocument/2006/relationships/officeDocument" Target="/word/document.xml" /><Relationship Id="coreRA350062" Type="http://schemas.openxmlformats.org/package/2006/relationships/metadata/core-properties" Target="/docProps/core.xml" /><Relationship Id="customRA3500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odrazových,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zdůvodněním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s ústním zdůvodněním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a písemné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Vysvětlit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Vysvětlit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s ústním zdůvodněním</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s ústním zdůvodněním</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s ústním zdůvodněním</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s ústním zdůvodněním</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s ústním zdůvodněním</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s ústním zdůvodněním</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s ústním zdůvodněním</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kompetence Orientace v normách a platných technologických postupech výroby tiskových forem ve všech tiskových technikách (ofset, hlubotisk, flexotisk, sítotisk), s využitím moderní výpočetní techniky a volby výběru kritérií b) a c) při ověřování kompetence Zhotovování kontrolního náhledu a verifikovaného nátisku pomocí laserových, inkjetových tiskáren a velkoplošných plotterů.</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Skenerista retušér, 22.10.2026 9:24:56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