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8A6F7" Type="http://schemas.openxmlformats.org/officeDocument/2006/relationships/officeDocument" Target="/word/document.xml" /><Relationship Id="coreR4648A6F7" Type="http://schemas.openxmlformats.org/package/2006/relationships/metadata/core-properties" Target="/docProps/core.xml" /><Relationship Id="customR4648A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Koordinace a kalibrování monitorů, skenerů, digitálních nátiskových zařízení a zařízení pro přímé zhotovení tiskových forem s využitím příslušných software a norem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8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87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20.10.2026 9:42:32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b) až e) podle svého zaměření při ověřování kompetencí Orientace v normách a platných technologických postupech výroby tiskových forem ve všech tiskových technikách (ofset, hlubotisk, flexotisk, sítotisk) s využitím moderní výpočetní techniky a Zhotovování komplexních elektronických tiskových podkladů pro výrobu tiskových forem s využitím grafických počítačových programů.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výběru zařízení pro kalibraci při ověřování kompetence Koordinace a kalibrování monitorů, skenerů, digitálních nátiskových zařízení a zařízení pro přímé zhotovení tiskových forem s využitím příslušných software a 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20.10.2026 9:42:33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20.10.2026 9:42:33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