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21A409" Type="http://schemas.openxmlformats.org/officeDocument/2006/relationships/officeDocument" Target="/word/document.xml" /><Relationship Id="coreRF21A409" Type="http://schemas.openxmlformats.org/package/2006/relationships/metadata/core-properties" Target="/docProps/core.xml" /><Relationship Id="customRF21A4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kolesového nakladače (kód: 21-020-H)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a provozu a ochrana zdraví při práci při obsluze kolesového nakladače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kolesových nakladačů a při jejich ošetřování, běžné údržbě a drobných opravách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kolesových nakladačů a při jejich běžné údržbě a drobných opravách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Kontrola údajů přístrojů a signalizačních zařízení informujících o průběhu a výsledcích činnosti kolesových nakladačů, o signalizaci závad činnosti kolesových nakladačů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Řízení a obsluha kolesového nakladače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kolesových nakladačů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Ošetřování a údržba kolesového nakladače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Údržba a odkládání lan kolesových nakladačů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Pokládka vlečných kabelů 6 kV a manipulace s nimi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Obsluha a údržba zdvihacího zařízení na kolesovém nakladači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Provádění prací s otevřeným ohněm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Zajišťování bezpečného a hospodárného provozu technických zařízení tlakových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Práce ve výškách a nad volnou hloubkou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kolesového nakladače, 11.9.2026 21:52:11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 Zdravotní způsobilost je vyžadována (odkaz na povolání v NSP - http://katalog.nsp.cz/zdravotniPodminky.aspx?id_jp=30857).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Sb., ve znění pozdějších předpisů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pracoval nejméně 3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200 hodin a absolvoval teoretické školení v řízení příslušného typu stroje - v případě, že má být nebo může být řidičem kolesového nakladače o výkonnosti větší než 3 150 m3.h-1 sypaných hmot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je vyučen v oboru strojním nebo elektrotechnickém a pracoval nejméně 2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100 hodin a absolvoval teoretické školení v řízení příslušného typu stroje - v případě, že má být nebo může být řidičem kolesového nakladače o výkonnosti od 630 do 3 150 m3.h-1 sypaných hmot.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kolesového nakladače, 11.9.2026 21:52:11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právní nástupce,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kolesového nakladače, 11.9.2026 21:52:11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