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08419" Type="http://schemas.openxmlformats.org/officeDocument/2006/relationships/officeDocument" Target="/word/document.xml" /><Relationship Id="coreRD808419" Type="http://schemas.openxmlformats.org/package/2006/relationships/metadata/core-properties" Target="/docProps/core.xml" /><Relationship Id="customRD8084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kvalifikace platí pouze pro řidiče rypadla, které svým výkonem nepřesahuje 630 m3.h-1. V opačném případě se již jedná o kvalifikaci řidiče velkostroje, u níž musí uchazeč splňovat požadavky, které upravuje hodnotící standart řidiče velkostroje.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předběžné praxe v rozsahu stanoveném vyhláškou č. 77/1965 Sb., o výcviku, způsobilosti a registraci obsluh stavebních strojů a další podmínky stanovené touto vyhláškou, zejména pak doložení příslušného průkazu (oprávnění k obsluze stavebního stroje (stavebních strojů))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se skládá z teoretické a praktické části a musí prokázat, že uchazeč má znalosti obsluhy a údržby stavebního stroje a zvládl látku předepsanou učební osnovou.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absolvovat lékařskou prohlídku před zahájením výcviku, pro provedení lékařské prohlídky platí přiměřeně předpisy ministerstva zdravotnictví vydané pro zjištění tělesné a duševní schopnosti uchazečů o řidičský průkaz (strojní průkaz).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 pozice - je zapotřebí splnit všechny požadavky stanovené právními předpisy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vyhlášky č. 77/1965 Sb., o výcviku, způsobilosti a registraci obsluh stavebních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o., Horní Bříza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