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5987F" Type="http://schemas.openxmlformats.org/officeDocument/2006/relationships/officeDocument" Target="/word/document.xml" /><Relationship Id="coreR6FF5987F" Type="http://schemas.openxmlformats.org/package/2006/relationships/metadata/core-properties" Target="/docProps/core.xml" /><Relationship Id="customR6FF598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29.04.2013 do: 20.10.2019</w:t>
      </w:r>
    </w:p>
    <w:p>
      <w:pPr>
        <w:pStyle w:val="P21"/>
        <w:framePr w:w="7654" w:h="331" w:hRule="exact" w:wrap="none" w:vAnchor="page" w:hAnchor="margin" w:x="28" w:y="15940"/>
        <w:rPr>
          <w:rStyle w:val="C16"/>
          <w:rtl w:val="0"/>
        </w:rPr>
      </w:pPr>
      <w:r>
        <w:rPr>
          <w:rStyle w:val="C16"/>
          <w:rtl w:val="0"/>
        </w:rPr>
        <w:t>Báňský úpravář uhlí, 30.9.2026 5:55:31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ověření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ověření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30.9.2026 5:55:31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Písemné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30.9.2026 5:55:31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ověření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ověření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Písemné a 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Písemné a 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30.9.2026 5:55:31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http://katalog.nsp.cz/karta_p.aspx?id_jp=14&amp;kod_sm1=27).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uhlí, 30.9.2026 5:55:31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odpovídající bezpečnostním a hygienickým předpisům</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Zkoušku lze provádět v jednotlivých úsecích úpravny (třídírna, úsek filtrace a sušení, nakládka uhlí, velín)</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úpravny (předpisy, normy)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Báňský úpravář uhlí, 30.9.2026 5:55:31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uhlí, 30.9.2026 5:55:31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Báňský úpravář uhlí, 30.9.2026 5:55:31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