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0E0E1C" Type="http://schemas.openxmlformats.org/officeDocument/2006/relationships/officeDocument" Target="/word/document.xml" /><Relationship Id="coreR310E0E1C" Type="http://schemas.openxmlformats.org/package/2006/relationships/metadata/core-properties" Target="/docProps/core.xml" /><Relationship Id="customR310E0E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29.04.2013 do: 20.10.2019</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ověření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ověření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ověření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ověření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Písemné a 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Písemné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http://katalog.nsp.cz/karta_p.aspx?id_jp=14&amp;kod_sm1=27).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odpovídající bezpečnostním a hygienickým předpisům</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Zkoušku lze provádět v jednotlivých úsecích úpravny (třídírna, úsek filtrace a sušení, nakládka uhlí, velín)</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úpravny (předpisy, normy)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Báňský úpravář uhlí, 20.10.2026 9:21:51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