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360DCC" Type="http://schemas.openxmlformats.org/officeDocument/2006/relationships/officeDocument" Target="/word/document.xml" /><Relationship Id="coreR1C360DCC" Type="http://schemas.openxmlformats.org/package/2006/relationships/metadata/core-properties" Target="/docProps/core.xml" /><Relationship Id="customR1C360D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užitkových a dekorativních výrobků uměleckého kovářství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ruční zhotovování užitkových a dekorativních výrobků uměleckého kovářství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kovářských výhní a pecí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Obsluha bucharů a kovacích lisů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kovářství, např. tvarovacích kladiv, kleští, sekáčů, apod.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výrobků uměleckého kovářství, např. klik a štítů, mříží, vrat, plastik, točitých schodišť, ozdobných klíčů apod.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Zhotovování předmětů tepaných z měděných nebo mosazných plechů nebo kovaných z oceli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Povrchové úpravy výrobků uměleckého kovářství cínováním, chemickým barvením a nátěrovými barvami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29.04.2013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kovář, 30.9.2026 2:36:20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http://katalog.nsp.cz/karta_p.aspx?id_jp=100313&amp;kod_sm1=42).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kovář, 30.9.2026 2:36:20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kovářů-podkovářů Čech, Moravy a Slezska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výtvarníků Karlova mostu,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kovář, 30.9.2026 2:36:20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