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115C2" Type="http://schemas.openxmlformats.org/officeDocument/2006/relationships/officeDocument" Target="/word/document.xml" /><Relationship Id="coreR417115C2" Type="http://schemas.openxmlformats.org/package/2006/relationships/metadata/core-properties" Target="/docProps/core.xml" /><Relationship Id="customR41711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Komandující (kód: 37-034-M)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Komandující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Komandující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služebních rozvrhů vlakových čet a obsluhy 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služebních rozvrhů staniční služby v železniční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Evidování obsazení vlaků vlakovými četami a obsluhami vlaků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Evidování obsazení staniční služby v železniční stanici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01.12.2015</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Komandující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1280" w:hRule="exact" w:wrap="none" w:vAnchor="page" w:hAnchor="margin" w:x="45" w:y="4280"/>
        <w:rPr>
          <w:rStyle w:val="C3"/>
          <w:rtl w:val="0"/>
        </w:rPr>
      </w:pPr>
    </w:p>
    <w:p>
      <w:pPr>
        <w:pStyle w:val="P13"/>
        <w:framePr w:w="6658" w:h="1153" w:hRule="exact" w:wrap="none" w:vAnchor="page" w:hAnchor="margin" w:x="71" w:y="4336"/>
        <w:rPr>
          <w:rStyle w:val="C11"/>
          <w:rtl w:val="0"/>
        </w:rPr>
      </w:pPr>
      <w:r>
        <w:rPr>
          <w:rStyle w:val="C11"/>
          <w:rtl w:val="0"/>
        </w:rPr>
        <w:t>c) Prokázat znalost základní dopravní terminologie železniční dopravy (námezník,</w:t>
        <w:br w:type="textWrapping"/>
        <w:t>návěstidlo, výhybka, výkolejka, volný schůdný manipulační prostor, průjezdný</w:t>
        <w:br w:type="textWrapping"/>
        <w:t>průřez; posun, posun mezi dopravnami, přestavná jízda apod.)</w:t>
      </w:r>
    </w:p>
    <w:p>
      <w:pPr>
        <w:pStyle w:val="P28"/>
        <w:framePr w:w="3921" w:h="1280" w:hRule="exact" w:wrap="none" w:vAnchor="page" w:hAnchor="margin" w:x="6800" w:y="4280"/>
        <w:rPr>
          <w:rStyle w:val="C3"/>
          <w:rtl w:val="0"/>
        </w:rPr>
      </w:pPr>
    </w:p>
    <w:p>
      <w:pPr>
        <w:pStyle w:val="P29"/>
        <w:framePr w:w="3839" w:h="1153"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5559"/>
        <w:rPr>
          <w:rStyle w:val="C3"/>
          <w:rtl w:val="0"/>
        </w:rPr>
      </w:pPr>
    </w:p>
    <w:p>
      <w:pPr>
        <w:pStyle w:val="P17"/>
        <w:framePr w:w="6658" w:h="480" w:hRule="exact" w:wrap="none" w:vAnchor="page" w:hAnchor="margin" w:x="71" w:y="5615"/>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59"/>
        <w:rPr>
          <w:rStyle w:val="C3"/>
          <w:rtl w:val="0"/>
        </w:rPr>
      </w:pPr>
    </w:p>
    <w:p>
      <w:pPr>
        <w:pStyle w:val="P31"/>
        <w:framePr w:w="3839" w:h="480" w:hRule="exact" w:wrap="none" w:vAnchor="page" w:hAnchor="margin" w:x="6856" w:y="5615"/>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územní působnost železničních dopravců</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32"/>
        <w:framePr w:w="10710" w:h="248" w:hRule="exact" w:wrap="none" w:vAnchor="page" w:hAnchor="margin" w:x="28" w:y="6656"/>
        <w:rPr>
          <w:rStyle w:val="C23"/>
          <w:rtl w:val="0"/>
        </w:rPr>
      </w:pPr>
      <w:r>
        <w:rPr>
          <w:rStyle w:val="C23"/>
          <w:rtl w:val="0"/>
        </w:rPr>
        <w:t>Je třeba splnit všechna kritéria.</w:t>
      </w:r>
    </w:p>
    <w:p>
      <w:pPr>
        <w:pStyle w:val="P23"/>
        <w:framePr w:w="10710" w:h="340" w:hRule="exact" w:wrap="none" w:vAnchor="page" w:hAnchor="margin" w:x="28" w:y="7091"/>
        <w:rPr>
          <w:rStyle w:val="C18"/>
          <w:rtl w:val="0"/>
        </w:rPr>
      </w:pPr>
      <w:r>
        <w:rPr>
          <w:rStyle w:val="C18"/>
          <w:rtl w:val="0"/>
        </w:rPr>
        <w:t>Orientace v oběhu a technických parametrech železničních souprav a vozidel</w:t>
      </w:r>
    </w:p>
    <w:p>
      <w:pPr>
        <w:pStyle w:val="P24"/>
        <w:framePr w:w="6713" w:h="376" w:hRule="exact" w:wrap="none" w:vAnchor="page" w:hAnchor="margin" w:x="45" w:y="7531"/>
        <w:rPr>
          <w:rStyle w:val="C3"/>
          <w:rtl w:val="0"/>
        </w:rPr>
      </w:pPr>
    </w:p>
    <w:p>
      <w:pPr>
        <w:pStyle w:val="P25"/>
        <w:framePr w:w="6661" w:h="249" w:hRule="exact" w:wrap="none" w:vAnchor="page" w:hAnchor="margin" w:x="71" w:y="7602"/>
        <w:rPr>
          <w:rStyle w:val="C19"/>
          <w:rtl w:val="0"/>
        </w:rPr>
      </w:pPr>
      <w:r>
        <w:rPr>
          <w:rStyle w:val="C19"/>
          <w:rtl w:val="0"/>
        </w:rPr>
        <w:t>Kritéria hodnocení</w:t>
      </w:r>
    </w:p>
    <w:p>
      <w:pPr>
        <w:pStyle w:val="P26"/>
        <w:framePr w:w="3918" w:h="376" w:hRule="exact" w:wrap="none" w:vAnchor="page" w:hAnchor="margin" w:x="6803" w:y="7531"/>
        <w:rPr>
          <w:rStyle w:val="C3"/>
          <w:rtl w:val="0"/>
        </w:rPr>
      </w:pPr>
    </w:p>
    <w:p>
      <w:pPr>
        <w:pStyle w:val="P27"/>
        <w:framePr w:w="3836" w:h="249" w:hRule="exact" w:wrap="none" w:vAnchor="page" w:hAnchor="margin" w:x="6859" w:y="7602"/>
        <w:rPr>
          <w:rStyle w:val="C20"/>
          <w:rtl w:val="0"/>
        </w:rPr>
      </w:pPr>
      <w:r>
        <w:rPr>
          <w:rStyle w:val="C20"/>
          <w:rtl w:val="0"/>
        </w:rPr>
        <w:t>Způsoby ověření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a) Vysvětlit podstatu oběhu železničních souprav</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Ústní ověření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8283"/>
        <w:rPr>
          <w:rStyle w:val="C3"/>
          <w:rtl w:val="0"/>
        </w:rPr>
      </w:pPr>
    </w:p>
    <w:p>
      <w:pPr>
        <w:pStyle w:val="P31"/>
        <w:framePr w:w="3839" w:h="480" w:hRule="exact" w:wrap="none" w:vAnchor="page" w:hAnchor="margin" w:x="6856" w:y="8339"/>
        <w:rPr>
          <w:rStyle w:val="C22"/>
          <w:rtl w:val="0"/>
        </w:rPr>
      </w:pPr>
      <w:r>
        <w:rPr>
          <w:rStyle w:val="C22"/>
          <w:rtl w:val="0"/>
        </w:rPr>
        <w:t>Praktické předvedení a 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Zpracovat a vyhotovit náležitosti pro vlakové soupravy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Sestavování služebních rozvrhů vlakových čet a obsluhy vlaků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Vyjmenovat dokumentaci související se sestavováním služebních rozvrhů vlakových čet a obsluhy vlaků</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Písemné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Zpracovat dokumentaci sestavení služebních rozvrhů vlakových čet a obsluhy vlaků</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zajišťování činností při mimořádnostech v železniční dopravě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Sestavování služebních rozvrhů staniční služby v železniční stanici</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Vyjmenovat dokumentaci související se sestavováním služebních rozvrhů staniční služby v železniční stanici</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Písemné ověření</w:t>
      </w:r>
    </w:p>
    <w:p>
      <w:pPr>
        <w:pStyle w:val="P16"/>
        <w:framePr w:w="6710" w:h="607" w:hRule="exact" w:wrap="none" w:vAnchor="page" w:hAnchor="margin" w:x="45" w:y="14192"/>
        <w:rPr>
          <w:rStyle w:val="C3"/>
          <w:rtl w:val="0"/>
        </w:rPr>
      </w:pPr>
    </w:p>
    <w:p>
      <w:pPr>
        <w:pStyle w:val="P17"/>
        <w:framePr w:w="6658" w:h="480" w:hRule="exact" w:wrap="none" w:vAnchor="page" w:hAnchor="margin" w:x="71" w:y="14248"/>
        <w:rPr>
          <w:rStyle w:val="C13"/>
          <w:rtl w:val="0"/>
        </w:rPr>
      </w:pPr>
      <w:r>
        <w:rPr>
          <w:rStyle w:val="C13"/>
          <w:rtl w:val="0"/>
        </w:rPr>
        <w:t>b) Zpracovat dokumentaci sestavení služebních rozvrhů staniční služby v železniční stanici</w:t>
      </w:r>
    </w:p>
    <w:p>
      <w:pPr>
        <w:pStyle w:val="P30"/>
        <w:framePr w:w="3921" w:h="607" w:hRule="exact" w:wrap="none" w:vAnchor="page" w:hAnchor="margin" w:x="6800" w:y="14192"/>
        <w:rPr>
          <w:rStyle w:val="C3"/>
          <w:rtl w:val="0"/>
        </w:rPr>
      </w:pPr>
    </w:p>
    <w:p>
      <w:pPr>
        <w:pStyle w:val="P31"/>
        <w:framePr w:w="3839" w:h="480" w:hRule="exact" w:wrap="none" w:vAnchor="page" w:hAnchor="margin" w:x="6856" w:y="14248"/>
        <w:rPr>
          <w:rStyle w:val="C22"/>
          <w:rtl w:val="0"/>
        </w:rPr>
      </w:pPr>
      <w:r>
        <w:rPr>
          <w:rStyle w:val="C22"/>
          <w:rtl w:val="0"/>
        </w:rPr>
        <w:t>Praktické předvedení a ústní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Zajišťování činností při mimořádnostech v železniční dopravě</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obsazení vlaků vlakovými četami a obsluhami vlaků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související s evidencí a přehledem o výkonech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dokumentaci vedení evidence a přehledů o výkonech zaměstnanců vlakových čet a obsluhy 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dokumentaci související se zpracováním dat o docházce zaměstnanců vlakových čet a obsluhy vlaků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Zpracovat data o docházce zaměstnanců vlakových čet a obsluhy vlaků v docházkové úloze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dokumentaci a postup při vykonávání kontroly dopravní a přepravní služby vlakových čet a obsluhy vlaků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dokumentaci z provedené kontroly zaměstnanců vlakových čet a obsluhy vlaků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Evidování obsazení staniční služby v železniční stanici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dokumentaci související s evidencí a přehledem o výkonech zaměstnanců staniční služby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Zpracovat dokumentaci vedení evidence a přehledů o výkonech zaměstnanců staniční služby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dokumentaci související se zpracováním dat o docházce zaměstnanců staniční služby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Zpracovat data o docházce zaměstnanců staniční služby v docházkové úloze</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Vyjmenovat dokumentaci a postup při vykonávání kontroly dopravní a přepravní služby staniční služby</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383" w:hRule="exact" w:wrap="none" w:vAnchor="page" w:hAnchor="margin" w:x="45" w:y="11010"/>
        <w:rPr>
          <w:rStyle w:val="C3"/>
          <w:rtl w:val="0"/>
        </w:rPr>
      </w:pPr>
    </w:p>
    <w:p>
      <w:pPr>
        <w:pStyle w:val="P17"/>
        <w:framePr w:w="6658" w:h="256" w:hRule="exact" w:wrap="none" w:vAnchor="page" w:hAnchor="margin" w:x="71" w:y="11066"/>
        <w:rPr>
          <w:rStyle w:val="C13"/>
          <w:rtl w:val="0"/>
        </w:rPr>
      </w:pPr>
      <w:r>
        <w:rPr>
          <w:rStyle w:val="C13"/>
          <w:rtl w:val="0"/>
        </w:rPr>
        <w:t>f) Zpracovat dokumentaci z provedené kontroly zaměstnanců staniční služby</w:t>
      </w:r>
    </w:p>
    <w:p>
      <w:pPr>
        <w:pStyle w:val="P30"/>
        <w:framePr w:w="3921" w:h="383" w:hRule="exact" w:wrap="none" w:vAnchor="page" w:hAnchor="margin" w:x="6800" w:y="11010"/>
        <w:rPr>
          <w:rStyle w:val="C3"/>
          <w:rtl w:val="0"/>
        </w:rPr>
      </w:pPr>
    </w:p>
    <w:p>
      <w:pPr>
        <w:pStyle w:val="P31"/>
        <w:framePr w:w="3839" w:h="256" w:hRule="exact" w:wrap="none" w:vAnchor="page" w:hAnchor="margin" w:x="6856" w:y="11066"/>
        <w:rPr>
          <w:rStyle w:val="C22"/>
          <w:rtl w:val="0"/>
        </w:rPr>
      </w:pPr>
      <w:r>
        <w:rPr>
          <w:rStyle w:val="C22"/>
          <w:rtl w:val="0"/>
        </w:rPr>
        <w:t>Praktické předvedení a ústní ověření</w:t>
      </w:r>
    </w:p>
    <w:p>
      <w:pPr>
        <w:pStyle w:val="P32"/>
        <w:framePr w:w="10710" w:h="248" w:hRule="exact" w:wrap="none" w:vAnchor="page" w:hAnchor="margin" w:x="28" w:y="115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http://katalog.nsp.cz/karta_tp.aspx?kod_sm1=14&amp;id_jp=5334).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s praxí v délce minimálně 5 let v oblasti železniční dopravy nebo ve funkci učitele praktického vyučování nebo odborného výcviku v oblasti železniční osobní dopravy, z toho minimálně dva roky v období posledních pěti let před podáním žádosti o udělení autorizace.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s praxí v délce minimálně 5 let v oblasti železniční osobní dopravy nebo ve funkci učitele praktického vyučování nebo odborného výcviku v oblasti železniční osobní dopravy, z toho minimálně jeden rok v posledních dvou letech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7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v tištěné nebo elektronické podobě, dokumenty uvedené v hodnoticím standardu této profesní kvalifikace v aktuálním znění v tištěné nebo elektronické podobě a formuláře pro praktické vyplnění.</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obsluhy zařízení železničních vozidel musí mít autorizovaná osoba k dispozici vozidla s funkční klimatizací a osvětlením.</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Komandující, 27.5.2026 23:49:23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2A6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AE9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