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8998E2" Type="http://schemas.openxmlformats.org/officeDocument/2006/relationships/officeDocument" Target="/word/document.xml" /><Relationship Id="coreR318998E2" Type="http://schemas.openxmlformats.org/package/2006/relationships/metadata/core-properties" Target="/docProps/core.xml" /><Relationship Id="customR318998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závěsné lokomotivy v dole (kód: 21-051-H)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závěsné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závěsné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po závěsné dráze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závěsné dráze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závěsné lokomotivy v dole, 16.4.2026 23:02:44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závěsné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závěsné lokomotivy podle provozní dokumentace, kontrola a doplnění provozních kapalin (voda, nafta, olej) a provedení zápisu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závěsné lokomotivy podle pokynů pro obsluhu a údržbu důlní závěsné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Řízení a obsluha důlní závěsné lokomotivy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Řídit a obsluhovat důlní závěsnou lokomotivu</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Popsat a vysvětlit povinnosti řidiče důlní závěsné lokomotivy před zahájením provozu, v průběhu směny a po ukončení provozu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Doprava materiálu po závěsné dráze v dole</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831" w:hRule="exact" w:wrap="none" w:vAnchor="page" w:hAnchor="margin" w:x="45" w:y="8677"/>
        <w:rPr>
          <w:rStyle w:val="C3"/>
          <w:rtl w:val="0"/>
        </w:rPr>
      </w:pPr>
    </w:p>
    <w:p>
      <w:pPr>
        <w:pStyle w:val="P13"/>
        <w:framePr w:w="6658" w:h="704" w:hRule="exact" w:wrap="none" w:vAnchor="page" w:hAnchor="margin" w:x="71" w:y="8733"/>
        <w:rPr>
          <w:rStyle w:val="C11"/>
          <w:rtl w:val="0"/>
        </w:rPr>
      </w:pPr>
      <w:r>
        <w:rPr>
          <w:rStyle w:val="C11"/>
          <w:rtl w:val="0"/>
        </w:rPr>
        <w:t>a) Určit podle dopravního řádu pro dopravu na závěsné dráze v dole parametry dopravované soupravy, hmotnost naloženého materiálu a způsob jeho naložení</w:t>
      </w:r>
    </w:p>
    <w:p>
      <w:pPr>
        <w:pStyle w:val="P28"/>
        <w:framePr w:w="3921" w:h="831" w:hRule="exact" w:wrap="none" w:vAnchor="page" w:hAnchor="margin" w:x="6800" w:y="8677"/>
        <w:rPr>
          <w:rStyle w:val="C3"/>
          <w:rtl w:val="0"/>
        </w:rPr>
      </w:pPr>
    </w:p>
    <w:p>
      <w:pPr>
        <w:pStyle w:val="P29"/>
        <w:framePr w:w="3839" w:h="704" w:hRule="exact" w:wrap="none" w:vAnchor="page" w:hAnchor="margin" w:x="6856" w:y="8733"/>
        <w:rPr>
          <w:rStyle w:val="C21"/>
          <w:rtl w:val="0"/>
        </w:rPr>
      </w:pPr>
      <w:r>
        <w:rPr>
          <w:rStyle w:val="C21"/>
          <w:rtl w:val="0"/>
        </w:rPr>
        <w:t>Praktické předvedení a ústní ověření</w:t>
      </w:r>
    </w:p>
    <w:p>
      <w:pPr>
        <w:pStyle w:val="P16"/>
        <w:framePr w:w="6710" w:h="607" w:hRule="exact" w:wrap="none" w:vAnchor="page" w:hAnchor="margin" w:x="45" w:y="9508"/>
        <w:rPr>
          <w:rStyle w:val="C3"/>
          <w:rtl w:val="0"/>
        </w:rPr>
      </w:pPr>
    </w:p>
    <w:p>
      <w:pPr>
        <w:pStyle w:val="P17"/>
        <w:framePr w:w="6658" w:h="480" w:hRule="exact" w:wrap="none" w:vAnchor="page" w:hAnchor="margin" w:x="71" w:y="9564"/>
        <w:rPr>
          <w:rStyle w:val="C13"/>
          <w:rtl w:val="0"/>
        </w:rPr>
      </w:pPr>
      <w:r>
        <w:rPr>
          <w:rStyle w:val="C13"/>
          <w:rtl w:val="0"/>
        </w:rPr>
        <w:t>b) Popsat možná rizika při dopravě hmot na závěsné dráze v dole a vysvětlit způsoby jejich eliminace</w:t>
      </w:r>
    </w:p>
    <w:p>
      <w:pPr>
        <w:pStyle w:val="P30"/>
        <w:framePr w:w="3921" w:h="607" w:hRule="exact" w:wrap="none" w:vAnchor="page" w:hAnchor="margin" w:x="6800" w:y="9508"/>
        <w:rPr>
          <w:rStyle w:val="C3"/>
          <w:rtl w:val="0"/>
        </w:rPr>
      </w:pPr>
    </w:p>
    <w:p>
      <w:pPr>
        <w:pStyle w:val="P31"/>
        <w:framePr w:w="3839" w:h="480" w:hRule="exact" w:wrap="none" w:vAnchor="page" w:hAnchor="margin" w:x="6856" w:y="9564"/>
        <w:rPr>
          <w:rStyle w:val="C22"/>
          <w:rtl w:val="0"/>
        </w:rPr>
      </w:pPr>
      <w:r>
        <w:rPr>
          <w:rStyle w:val="C22"/>
          <w:rtl w:val="0"/>
        </w:rPr>
        <w:t>Ústní ověření</w:t>
      </w:r>
    </w:p>
    <w:p>
      <w:pPr>
        <w:pStyle w:val="P12"/>
        <w:framePr w:w="6710" w:h="376" w:hRule="exact" w:wrap="none" w:vAnchor="page" w:hAnchor="margin" w:x="45" w:y="10115"/>
        <w:rPr>
          <w:rStyle w:val="C3"/>
          <w:rtl w:val="0"/>
        </w:rPr>
      </w:pPr>
    </w:p>
    <w:p>
      <w:pPr>
        <w:pStyle w:val="P13"/>
        <w:framePr w:w="6658" w:h="249" w:hRule="exact" w:wrap="none" w:vAnchor="page" w:hAnchor="margin" w:x="71" w:y="10171"/>
        <w:rPr>
          <w:rStyle w:val="C11"/>
          <w:rtl w:val="0"/>
        </w:rPr>
      </w:pPr>
      <w:r>
        <w:rPr>
          <w:rStyle w:val="C11"/>
          <w:rtl w:val="0"/>
        </w:rPr>
        <w:t>c) Popsat základní pravidla komunikace s dispečerem a inspekční službou</w:t>
      </w:r>
    </w:p>
    <w:p>
      <w:pPr>
        <w:pStyle w:val="P28"/>
        <w:framePr w:w="3921" w:h="376" w:hRule="exact" w:wrap="none" w:vAnchor="page" w:hAnchor="margin" w:x="6800" w:y="10115"/>
        <w:rPr>
          <w:rStyle w:val="C3"/>
          <w:rtl w:val="0"/>
        </w:rPr>
      </w:pPr>
    </w:p>
    <w:p>
      <w:pPr>
        <w:pStyle w:val="P29"/>
        <w:framePr w:w="3839" w:h="249" w:hRule="exact" w:wrap="none" w:vAnchor="page" w:hAnchor="margin" w:x="6856" w:y="10171"/>
        <w:rPr>
          <w:rStyle w:val="C21"/>
          <w:rtl w:val="0"/>
        </w:rPr>
      </w:pPr>
      <w:r>
        <w:rPr>
          <w:rStyle w:val="C21"/>
          <w:rtl w:val="0"/>
        </w:rPr>
        <w:t>Ústní ověření</w:t>
      </w:r>
    </w:p>
    <w:p>
      <w:pPr>
        <w:pStyle w:val="P32"/>
        <w:framePr w:w="10710" w:h="248" w:hRule="exact" w:wrap="none" w:vAnchor="page" w:hAnchor="margin" w:x="28" w:y="10605"/>
        <w:rPr>
          <w:rStyle w:val="C23"/>
          <w:rtl w:val="0"/>
        </w:rPr>
      </w:pPr>
      <w:r>
        <w:rPr>
          <w:rStyle w:val="C23"/>
          <w:rtl w:val="0"/>
        </w:rPr>
        <w:t>Je třeba splnit všechna kritéria.</w:t>
      </w:r>
    </w:p>
    <w:p>
      <w:pPr>
        <w:pStyle w:val="P23"/>
        <w:framePr w:w="10710" w:h="340" w:hRule="exact" w:wrap="none" w:vAnchor="page" w:hAnchor="margin" w:x="28" w:y="11041"/>
        <w:rPr>
          <w:rStyle w:val="C18"/>
          <w:rtl w:val="0"/>
        </w:rPr>
      </w:pPr>
      <w:r>
        <w:rPr>
          <w:rStyle w:val="C18"/>
          <w:rtl w:val="0"/>
        </w:rPr>
        <w:t>Obsluha zařízení pro nakládání, skládání a manipulaci s materiálem</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c) Popsat a vysvětlit zásady bezpečné obsluhy zařízení</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Ústní ověření</w:t>
      </w:r>
    </w:p>
    <w:p>
      <w:pPr>
        <w:pStyle w:val="P32"/>
        <w:framePr w:w="10710" w:h="248" w:hRule="exact" w:wrap="none" w:vAnchor="page" w:hAnchor="margin" w:x="28" w:y="13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16.4.2026 23:02:44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závěsné dráze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závěsné dráze v dole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závěsné dráze v dole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dopravu na závěsné dráze v dole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dopravu na závěsné dráze v dole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Vysvětlit význam signálů používaných pro dopravu na závěsné dráze v dole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16.4.2026 23:02:44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Řidič lokomotivy v dole (odkaz na povolání v NSP - http://katalog.nsp.cz/karta_p.aspx?id_jp=30846&amp;kod_sm1=27).</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závěsné lokomotivy v dole, 16.4.2026 23:02:44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při dopravě po závěsné dráze (ZD)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závěsné dráze v dole (remíze lokomotiv, překladiště a trať pro jízdu vybavená zabezpečovacími zařízeními)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(dopravní řád, návody pro obsluhu a údržbu lokomotiv a ostatních zařízení pro dopravu na závěsné dráze v dole, instrukce pro dopravu na závěsné dráze v dole)</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závěsné lokomotivy v dole, 16.4.2026 23:02:44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závěsné lokomotivy v dole, 16.4.2026 23:02:44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závěsné lokomotivy v dole, 16.4.2026 23:02:44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5EA8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A778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CAFC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