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EA45F0" Type="http://schemas.openxmlformats.org/officeDocument/2006/relationships/officeDocument" Target="/word/document.xml" /><Relationship Id="coreR14EA45F0" Type="http://schemas.openxmlformats.org/package/2006/relationships/metadata/core-properties" Target="/docProps/core.xml" /><Relationship Id="customR14EA45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/ kovárenská technička technoložka (kód: 21-047-M)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normami ČSN a EN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kovárenských pecí a stanovení režimů ohřevu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tvářecích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technických podmínek volného 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technických podmínek zápustkového kování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kování za studena a za polotepla, bezvýronkové kování a řízené tváření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Stanovení režimu tepelného zpracování výkovků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Stanovení technologického postupu dokončování výkovků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technických zkoušek v kovárenské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Vyřizování reklamací a stížností v souladu s platnou legislativou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Práce se simulačními programy v kovárenské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tvářecích nástrojích, jejich životnosti a renovaci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kovárenské výrobě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https://www.nsp.cz/jednotka-prace/kovarensky-technik-techno-9b18#zdravotni-zpusobilost).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skládat z části ústní a praktické. Praktická část zkoušky zaměřená na BOZP, technologické postupy (Vypracovat technologický postup výroby zadaného zápustkového výkovku podle technické dokumentace - např. plochého výkovku nebo ozubeného kola, vypracovat technologický postup volného kování podle technické dokumentace - např. kroužku nebo ohýbaného výkovku), obsluhu kovárenských pecí, odběr vzorků, reklamace technických parametrů výkovků se uskuteční v konkrétním kovárenském provozu.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HEAVY MACHINERY,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technoložka, 20.10.2026 7:32:55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