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2B2FA" Type="http://schemas.openxmlformats.org/officeDocument/2006/relationships/officeDocument" Target="/word/document.xml" /><Relationship Id="coreR2942B2FA" Type="http://schemas.openxmlformats.org/package/2006/relationships/metadata/core-properties" Target="/docProps/core.xml" /><Relationship Id="customR2942B2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textilií, 30.9.2026 4:46:40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30.9.2026 4:46:40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30.9.2026 4:46:40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Tiskař/tiskařka textilií, 30.9.2026 4:46:40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Tiskař/tiskařka textilií, 30.9.2026 4:46:40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Tiskař/tiskařka textilií a střední vzdělání s maturitní zkouškou a alespoň 5 let odborné praxe zaměřené na výrobu nebo zušlechťování textilií.</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textilií, 30.9.2026 4:46:40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Tiskař/tiskařka textilií, 30.9.2026 4:46:40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textilií, 30.9.2026 4:46:40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B627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C1FF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